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ascii="Times New Roman" w:hAnsi="Times New Roman" w:eastAsia="宋体" w:cs="Times New Roman"/>
          <w:b/>
          <w:sz w:val="28"/>
          <w:szCs w:val="30"/>
        </w:rPr>
      </w:pPr>
      <w:bookmarkStart w:id="0" w:name="_Toc10518"/>
      <w:bookmarkStart w:id="1" w:name="_Toc25654"/>
      <w:r>
        <w:rPr>
          <w:rFonts w:hint="default" w:ascii="Times New Roman" w:hAnsi="Times New Roman" w:eastAsia="宋体" w:cs="Times New Roman"/>
          <w:b/>
          <w:sz w:val="28"/>
          <w:szCs w:val="30"/>
          <w:lang w:val="en-US" w:eastAsia="zh-CN"/>
        </w:rPr>
        <w:t>浙江</w:t>
      </w:r>
      <w:r>
        <w:rPr>
          <w:rFonts w:hint="default" w:ascii="Times New Roman" w:hAnsi="Times New Roman" w:eastAsia="宋体" w:cs="Times New Roman"/>
          <w:b/>
          <w:sz w:val="28"/>
          <w:szCs w:val="30"/>
        </w:rPr>
        <w:t>新化</w:t>
      </w:r>
      <w:r>
        <w:rPr>
          <w:rFonts w:hint="eastAsia" w:ascii="Times New Roman" w:hAnsi="Times New Roman" w:eastAsia="宋体" w:cs="Times New Roman"/>
          <w:b/>
          <w:sz w:val="28"/>
          <w:szCs w:val="30"/>
          <w:lang w:val="en-US" w:eastAsia="zh-CN"/>
        </w:rPr>
        <w:t>股份</w:t>
      </w:r>
      <w:r>
        <w:rPr>
          <w:rFonts w:hint="default" w:ascii="Times New Roman" w:hAnsi="Times New Roman" w:eastAsia="宋体" w:cs="Times New Roman"/>
          <w:b/>
          <w:sz w:val="28"/>
          <w:szCs w:val="30"/>
          <w:lang w:val="en-US" w:eastAsia="zh-CN"/>
        </w:rPr>
        <w:t>200</w:t>
      </w:r>
      <w:r>
        <w:rPr>
          <w:rFonts w:hint="default" w:ascii="Times New Roman" w:hAnsi="Times New Roman" w:eastAsia="宋体" w:cs="Times New Roman"/>
          <w:b/>
          <w:sz w:val="28"/>
          <w:szCs w:val="30"/>
        </w:rPr>
        <w:t>吨/年</w:t>
      </w:r>
      <w:r>
        <w:rPr>
          <w:rFonts w:hint="default" w:ascii="Times New Roman" w:hAnsi="Times New Roman" w:eastAsia="宋体" w:cs="Times New Roman"/>
          <w:b/>
          <w:sz w:val="28"/>
          <w:szCs w:val="30"/>
          <w:lang w:val="en-US" w:eastAsia="zh-CN"/>
        </w:rPr>
        <w:t>催化剂</w:t>
      </w:r>
      <w:r>
        <w:rPr>
          <w:rFonts w:hint="default" w:ascii="Times New Roman" w:hAnsi="Times New Roman" w:eastAsia="宋体" w:cs="Times New Roman"/>
          <w:b/>
          <w:sz w:val="28"/>
          <w:szCs w:val="30"/>
        </w:rPr>
        <w:t>项目</w:t>
      </w:r>
      <w:bookmarkEnd w:id="0"/>
      <w:bookmarkEnd w:id="1"/>
      <w:r>
        <w:rPr>
          <w:rFonts w:ascii="Times New Roman" w:hAnsi="Times New Roman" w:eastAsia="宋体" w:cs="Times New Roman"/>
          <w:b/>
          <w:sz w:val="28"/>
          <w:szCs w:val="30"/>
        </w:rPr>
        <w:t>环境影响评价公示</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Times New Roman" w:hAnsi="Times New Roman" w:cs="Times New Roman"/>
          <w:kern w:val="2"/>
          <w:sz w:val="21"/>
          <w:szCs w:val="21"/>
        </w:rPr>
      </w:pPr>
      <w:r>
        <w:rPr>
          <w:rFonts w:ascii="Times New Roman" w:hAnsi="Times New Roman" w:cs="Times New Roman"/>
          <w:kern w:val="2"/>
          <w:sz w:val="21"/>
          <w:szCs w:val="21"/>
        </w:rPr>
        <w:t>根据《浙江省建设项目环境保护管理办法》的相关</w:t>
      </w:r>
      <w:r>
        <w:rPr>
          <w:rFonts w:ascii="Times New Roman" w:hAnsi="Times New Roman" w:cs="Times New Roman"/>
          <w:kern w:val="2"/>
          <w:sz w:val="21"/>
          <w:szCs w:val="21"/>
        </w:rPr>
        <w:t>要求，现对</w:t>
      </w:r>
      <w:r>
        <w:rPr>
          <w:rFonts w:hint="eastAsia" w:ascii="Times New Roman" w:hAnsi="Times New Roman" w:cs="Times New Roman"/>
          <w:kern w:val="2"/>
          <w:sz w:val="21"/>
          <w:szCs w:val="21"/>
        </w:rPr>
        <w:t>“</w:t>
      </w:r>
      <w:r>
        <w:rPr>
          <w:rFonts w:hint="default" w:ascii="Times New Roman" w:hAnsi="Times New Roman" w:cs="Times New Roman"/>
          <w:kern w:val="2"/>
          <w:sz w:val="21"/>
          <w:szCs w:val="21"/>
          <w:lang w:val="en-US" w:eastAsia="zh-CN"/>
        </w:rPr>
        <w:t>浙江</w:t>
      </w:r>
      <w:r>
        <w:rPr>
          <w:rFonts w:hint="default" w:ascii="Times New Roman" w:hAnsi="Times New Roman" w:cs="Times New Roman"/>
          <w:kern w:val="2"/>
          <w:sz w:val="21"/>
          <w:szCs w:val="21"/>
        </w:rPr>
        <w:t>新化</w:t>
      </w:r>
      <w:r>
        <w:rPr>
          <w:rFonts w:hint="eastAsia" w:ascii="Times New Roman" w:hAnsi="Times New Roman" w:cs="Times New Roman"/>
          <w:kern w:val="2"/>
          <w:sz w:val="21"/>
          <w:szCs w:val="21"/>
          <w:lang w:val="en-US" w:eastAsia="zh-CN"/>
        </w:rPr>
        <w:t>股份</w:t>
      </w:r>
      <w:r>
        <w:rPr>
          <w:rFonts w:hint="default" w:ascii="Times New Roman" w:hAnsi="Times New Roman" w:cs="Times New Roman"/>
          <w:kern w:val="2"/>
          <w:sz w:val="21"/>
          <w:szCs w:val="21"/>
          <w:lang w:val="en-US" w:eastAsia="zh-CN"/>
        </w:rPr>
        <w:t>200</w:t>
      </w:r>
      <w:r>
        <w:rPr>
          <w:rFonts w:hint="default" w:ascii="Times New Roman" w:hAnsi="Times New Roman" w:cs="Times New Roman"/>
          <w:kern w:val="2"/>
          <w:sz w:val="21"/>
          <w:szCs w:val="21"/>
        </w:rPr>
        <w:t>吨/年</w:t>
      </w:r>
      <w:r>
        <w:rPr>
          <w:rFonts w:hint="default" w:ascii="Times New Roman" w:hAnsi="Times New Roman" w:cs="Times New Roman"/>
          <w:kern w:val="2"/>
          <w:sz w:val="21"/>
          <w:szCs w:val="21"/>
          <w:lang w:val="en-US" w:eastAsia="zh-CN"/>
        </w:rPr>
        <w:t>催化剂</w:t>
      </w:r>
      <w:r>
        <w:rPr>
          <w:rFonts w:hint="default" w:ascii="Times New Roman" w:hAnsi="Times New Roman" w:cs="Times New Roman"/>
          <w:kern w:val="2"/>
          <w:sz w:val="21"/>
          <w:szCs w:val="21"/>
        </w:rPr>
        <w:t>项目</w:t>
      </w:r>
      <w:r>
        <w:rPr>
          <w:rFonts w:hint="eastAsia" w:ascii="Times New Roman" w:hAnsi="Times New Roman" w:cs="Times New Roman"/>
          <w:kern w:val="2"/>
          <w:sz w:val="21"/>
          <w:szCs w:val="21"/>
        </w:rPr>
        <w:t>”</w:t>
      </w:r>
      <w:r>
        <w:rPr>
          <w:rFonts w:ascii="Times New Roman" w:hAnsi="Times New Roman" w:cs="Times New Roman"/>
          <w:kern w:val="2"/>
          <w:sz w:val="21"/>
          <w:szCs w:val="21"/>
        </w:rPr>
        <w:t>环境影响评价进行公众参与信息公开，使项目建设可能影响区域内的公众对项目建设情况有所了解，并通过信息公开了解社会公众对本项目的态度和建议，接受社会公众的监督。</w:t>
      </w:r>
    </w:p>
    <w:p>
      <w:pPr>
        <w:keepNext w:val="0"/>
        <w:keepLines w:val="0"/>
        <w:pageBreakBefore w:val="0"/>
        <w:widowControl w:val="0"/>
        <w:kinsoku/>
        <w:wordWrap/>
        <w:overflowPunct/>
        <w:topLinePunct w:val="0"/>
        <w:autoSpaceDE/>
        <w:autoSpaceDN/>
        <w:bidi w:val="0"/>
        <w:adjustRightInd/>
        <w:snapToGrid w:val="0"/>
        <w:spacing w:line="380" w:lineRule="exact"/>
        <w:textAlignment w:val="auto"/>
        <w:outlineLvl w:val="0"/>
        <w:rPr>
          <w:rFonts w:ascii="Times New Roman" w:hAnsi="Times New Roman" w:eastAsia="宋体" w:cs="Times New Roman"/>
          <w:b/>
          <w:sz w:val="24"/>
          <w:szCs w:val="28"/>
        </w:rPr>
      </w:pPr>
      <w:r>
        <w:rPr>
          <w:rFonts w:ascii="Times New Roman" w:hAnsi="Times New Roman" w:eastAsia="宋体" w:cs="Times New Roman"/>
          <w:b/>
          <w:sz w:val="24"/>
          <w:szCs w:val="28"/>
        </w:rPr>
        <w:t>一、建设项目基本情况</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项目名称：</w:t>
      </w:r>
      <w:r>
        <w:rPr>
          <w:rFonts w:hint="default" w:ascii="Times New Roman" w:hAnsi="Times New Roman" w:cs="Times New Roman"/>
          <w:kern w:val="2"/>
          <w:sz w:val="21"/>
          <w:szCs w:val="21"/>
          <w:highlight w:val="none"/>
          <w:lang w:val="en-US" w:eastAsia="zh-CN"/>
        </w:rPr>
        <w:t>浙江</w:t>
      </w:r>
      <w:r>
        <w:rPr>
          <w:rFonts w:hint="default" w:ascii="Times New Roman" w:hAnsi="Times New Roman" w:cs="Times New Roman"/>
          <w:kern w:val="2"/>
          <w:sz w:val="21"/>
          <w:szCs w:val="21"/>
          <w:highlight w:val="none"/>
        </w:rPr>
        <w:t>新化</w:t>
      </w:r>
      <w:r>
        <w:rPr>
          <w:rFonts w:hint="default" w:ascii="Times New Roman" w:hAnsi="Times New Roman" w:cs="Times New Roman"/>
          <w:kern w:val="2"/>
          <w:sz w:val="21"/>
          <w:szCs w:val="21"/>
          <w:highlight w:val="none"/>
          <w:lang w:val="en-US" w:eastAsia="zh-CN"/>
        </w:rPr>
        <w:t>股份200</w:t>
      </w:r>
      <w:r>
        <w:rPr>
          <w:rFonts w:hint="default" w:ascii="Times New Roman" w:hAnsi="Times New Roman" w:cs="Times New Roman"/>
          <w:kern w:val="2"/>
          <w:sz w:val="21"/>
          <w:szCs w:val="21"/>
          <w:highlight w:val="none"/>
        </w:rPr>
        <w:t>吨/年</w:t>
      </w:r>
      <w:r>
        <w:rPr>
          <w:rFonts w:hint="default" w:ascii="Times New Roman" w:hAnsi="Times New Roman" w:cs="Times New Roman"/>
          <w:kern w:val="2"/>
          <w:sz w:val="21"/>
          <w:szCs w:val="21"/>
          <w:highlight w:val="none"/>
          <w:lang w:val="en-US" w:eastAsia="zh-CN"/>
        </w:rPr>
        <w:t>催化剂</w:t>
      </w:r>
      <w:r>
        <w:rPr>
          <w:rFonts w:hint="default" w:ascii="Times New Roman" w:hAnsi="Times New Roman" w:cs="Times New Roman"/>
          <w:kern w:val="2"/>
          <w:sz w:val="21"/>
          <w:szCs w:val="21"/>
          <w:highlight w:val="none"/>
        </w:rPr>
        <w:t>项目</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建设单位：</w:t>
      </w:r>
      <w:r>
        <w:rPr>
          <w:rFonts w:hint="default" w:ascii="Times New Roman" w:hAnsi="Times New Roman" w:eastAsia="宋体" w:cs="Times New Roman"/>
          <w:szCs w:val="21"/>
          <w:highlight w:val="none"/>
          <w:lang w:val="en-US" w:eastAsia="zh-CN"/>
        </w:rPr>
        <w:t>浙江新化化工股份有限公司</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建设地点：</w:t>
      </w:r>
      <w:r>
        <w:rPr>
          <w:rFonts w:hint="default" w:ascii="Times New Roman" w:hAnsi="Times New Roman" w:eastAsia="宋体" w:cs="Times New Roman"/>
          <w:szCs w:val="21"/>
          <w:highlight w:val="none"/>
          <w:lang w:val="en-US" w:eastAsia="zh-CN"/>
        </w:rPr>
        <w:t>浙江建德经济开发区（高新区块）大洋组团，新征用地共计8亩</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项目性质：</w:t>
      </w:r>
      <w:r>
        <w:rPr>
          <w:rFonts w:hint="default" w:ascii="Times New Roman" w:hAnsi="Times New Roman" w:eastAsia="宋体" w:cs="Times New Roman"/>
          <w:szCs w:val="21"/>
          <w:highlight w:val="none"/>
          <w:lang w:val="en-US" w:eastAsia="zh-CN"/>
        </w:rPr>
        <w:t>新建</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总投资：5000万元</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建设内容与规模：</w:t>
      </w:r>
      <w:r>
        <w:rPr>
          <w:rFonts w:hint="default" w:ascii="Times New Roman" w:hAnsi="Times New Roman" w:eastAsia="宋体" w:cs="Times New Roman"/>
          <w:szCs w:val="21"/>
          <w:highlight w:val="none"/>
          <w:lang w:val="en-US" w:eastAsia="zh-CN"/>
        </w:rPr>
        <w:t>在</w:t>
      </w:r>
      <w:r>
        <w:rPr>
          <w:rFonts w:hint="default" w:ascii="Times New Roman" w:hAnsi="Times New Roman" w:eastAsia="宋体" w:cs="Times New Roman"/>
          <w:szCs w:val="21"/>
          <w:highlight w:val="none"/>
        </w:rPr>
        <w:t>浙江新化化工股份有限公司</w:t>
      </w:r>
      <w:r>
        <w:rPr>
          <w:rFonts w:hint="default" w:ascii="Times New Roman" w:hAnsi="Times New Roman" w:eastAsia="宋体" w:cs="Times New Roman"/>
          <w:szCs w:val="21"/>
          <w:highlight w:val="none"/>
          <w:lang w:val="en-US" w:eastAsia="zh-CN"/>
        </w:rPr>
        <w:t>大洋基地东北侧新征8亩地用于建设</w:t>
      </w:r>
      <w:r>
        <w:rPr>
          <w:rFonts w:hint="default" w:ascii="Times New Roman" w:hAnsi="Times New Roman" w:cs="Times New Roman"/>
          <w:kern w:val="2"/>
          <w:sz w:val="21"/>
          <w:szCs w:val="21"/>
          <w:highlight w:val="none"/>
          <w:lang w:val="en-US" w:eastAsia="zh-CN"/>
        </w:rPr>
        <w:t>200</w:t>
      </w:r>
      <w:r>
        <w:rPr>
          <w:rFonts w:hint="default" w:ascii="Times New Roman" w:hAnsi="Times New Roman" w:cs="Times New Roman"/>
          <w:kern w:val="2"/>
          <w:sz w:val="21"/>
          <w:szCs w:val="21"/>
          <w:highlight w:val="none"/>
        </w:rPr>
        <w:t>吨/年</w:t>
      </w:r>
      <w:r>
        <w:rPr>
          <w:rFonts w:hint="default" w:ascii="Times New Roman" w:hAnsi="Times New Roman" w:cs="Times New Roman"/>
          <w:kern w:val="2"/>
          <w:sz w:val="21"/>
          <w:szCs w:val="21"/>
          <w:highlight w:val="none"/>
          <w:lang w:val="en-US" w:eastAsia="zh-CN"/>
        </w:rPr>
        <w:t>催化剂</w:t>
      </w:r>
      <w:r>
        <w:rPr>
          <w:rFonts w:hint="default" w:ascii="Times New Roman" w:hAnsi="Times New Roman" w:cs="Times New Roman"/>
          <w:kern w:val="2"/>
          <w:sz w:val="21"/>
          <w:szCs w:val="21"/>
          <w:highlight w:val="none"/>
        </w:rPr>
        <w:t>项目</w:t>
      </w:r>
      <w:r>
        <w:rPr>
          <w:rFonts w:hint="default" w:ascii="Times New Roman" w:hAnsi="Times New Roman" w:cs="Times New Roman"/>
          <w:kern w:val="2"/>
          <w:sz w:val="21"/>
          <w:szCs w:val="21"/>
          <w:highlight w:val="none"/>
          <w:lang w:val="en-US" w:eastAsia="zh-CN"/>
        </w:rPr>
        <w:t>车间及相关配套设施</w:t>
      </w:r>
      <w:r>
        <w:rPr>
          <w:rFonts w:hint="default" w:ascii="Times New Roman" w:hAnsi="Times New Roman" w:eastAsia="宋体" w:cs="Times New Roman"/>
          <w:szCs w:val="21"/>
          <w:highlight w:val="none"/>
          <w:lang w:val="en-US" w:eastAsia="zh-CN"/>
        </w:rPr>
        <w:t>，部分公辅设施依托老厂。</w:t>
      </w:r>
      <w:r>
        <w:rPr>
          <w:rFonts w:hint="default" w:ascii="Times New Roman" w:hAnsi="Times New Roman" w:cs="Times New Roman"/>
          <w:color w:val="auto"/>
          <w:highlight w:val="none"/>
          <w:lang w:val="en-US" w:eastAsia="zh-CN"/>
        </w:rPr>
        <w:t>项目建成后年产铜基催化剂72吨，镍基催化剂40吨，钴基催化剂60吨，铁基催化剂20吨，贵金属基催化剂6吨，另外铜催化剂回收量20.5吨，钯催化剂回收量1.25吨。</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outlineLvl w:val="0"/>
        <w:rPr>
          <w:rFonts w:ascii="Times New Roman" w:hAnsi="Times New Roman" w:eastAsia="宋体" w:cs="Times New Roman"/>
          <w:szCs w:val="21"/>
        </w:rPr>
      </w:pPr>
      <w:r>
        <w:rPr>
          <w:rFonts w:ascii="Times New Roman" w:hAnsi="Times New Roman" w:eastAsia="宋体" w:cs="Times New Roman"/>
          <w:b/>
          <w:sz w:val="24"/>
          <w:szCs w:val="28"/>
        </w:rPr>
        <w:t>二、环境影响评价范围内主要环境敏感目标分布情况</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本项目位于</w:t>
      </w:r>
      <w:r>
        <w:rPr>
          <w:rFonts w:hint="eastAsia" w:ascii="Times New Roman" w:hAnsi="Times New Roman" w:eastAsia="宋体" w:cs="Times New Roman"/>
          <w:szCs w:val="21"/>
        </w:rPr>
        <w:t>浙江</w:t>
      </w:r>
      <w:r>
        <w:rPr>
          <w:rFonts w:hint="eastAsia" w:ascii="Times New Roman" w:hAnsi="Times New Roman" w:eastAsia="宋体" w:cs="Times New Roman"/>
          <w:szCs w:val="21"/>
          <w:lang w:val="en-US" w:eastAsia="zh-CN"/>
        </w:rPr>
        <w:t>建德经济开发区（高新区块）大洋组团内。本项目环境保护目标</w:t>
      </w:r>
      <w:r>
        <w:rPr>
          <w:rFonts w:ascii="Times New Roman" w:hAnsi="Times New Roman" w:eastAsia="宋体" w:cs="Times New Roman"/>
          <w:szCs w:val="21"/>
        </w:rPr>
        <w:t>见表1。</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center"/>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表1  项目周边主要环境保护目标</w:t>
      </w:r>
    </w:p>
    <w:tbl>
      <w:tblPr>
        <w:tblStyle w:val="9"/>
        <w:tblW w:w="8817" w:type="dxa"/>
        <w:jc w:val="center"/>
        <w:tblInd w:w="0" w:type="dxa"/>
        <w:tblLayout w:type="fixed"/>
        <w:tblCellMar>
          <w:top w:w="0" w:type="dxa"/>
          <w:left w:w="0" w:type="dxa"/>
          <w:bottom w:w="0" w:type="dxa"/>
          <w:right w:w="0" w:type="dxa"/>
        </w:tblCellMar>
      </w:tblPr>
      <w:tblGrid>
        <w:gridCol w:w="798"/>
        <w:gridCol w:w="410"/>
        <w:gridCol w:w="660"/>
        <w:gridCol w:w="1020"/>
        <w:gridCol w:w="428"/>
        <w:gridCol w:w="1001"/>
        <w:gridCol w:w="2152"/>
        <w:gridCol w:w="1208"/>
        <w:gridCol w:w="1140"/>
      </w:tblGrid>
      <w:tr>
        <w:tblPrEx>
          <w:tblLayout w:type="fixed"/>
          <w:tblCellMar>
            <w:top w:w="0" w:type="dxa"/>
            <w:left w:w="0" w:type="dxa"/>
            <w:bottom w:w="0" w:type="dxa"/>
            <w:right w:w="0" w:type="dxa"/>
          </w:tblCellMar>
        </w:tblPrEx>
        <w:trPr>
          <w:trHeight w:val="238" w:hRule="atLeast"/>
          <w:jc w:val="center"/>
        </w:trPr>
        <w:tc>
          <w:tcPr>
            <w:tcW w:w="798" w:type="dxa"/>
            <w:vMerge w:val="restart"/>
            <w:tcBorders>
              <w:top w:val="single" w:color="000000"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bookmarkStart w:id="2" w:name="_Toc6876"/>
            <w:r>
              <w:rPr>
                <w:rFonts w:hint="default" w:ascii="Times New Roman" w:hAnsi="Times New Roman" w:cs="Times New Roman"/>
                <w:color w:val="000000" w:themeColor="text1"/>
                <w:kern w:val="0"/>
                <w:sz w:val="18"/>
                <w:szCs w:val="18"/>
                <w:highlight w:val="none"/>
                <w:lang w:val="en-US" w:eastAsia="zh-CN" w:bidi="ar"/>
                <w14:textFill>
                  <w14:solidFill>
                    <w14:schemeClr w14:val="tx1"/>
                  </w14:solidFill>
                </w14:textFill>
              </w:rPr>
              <w:t>环境要素</w:t>
            </w:r>
          </w:p>
        </w:tc>
        <w:tc>
          <w:tcPr>
            <w:tcW w:w="2090"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保护目标名称</w:t>
            </w:r>
          </w:p>
        </w:tc>
        <w:tc>
          <w:tcPr>
            <w:tcW w:w="4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方位</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与厂界最近距离约（米）</w:t>
            </w:r>
          </w:p>
        </w:tc>
        <w:tc>
          <w:tcPr>
            <w:tcW w:w="21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sz w:val="18"/>
                <w:szCs w:val="18"/>
                <w:highlight w:val="none"/>
                <w:lang w:eastAsia="zh-CN"/>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bidi="ar"/>
                <w14:textFill>
                  <w14:solidFill>
                    <w14:schemeClr w14:val="tx1"/>
                  </w14:solidFill>
                </w14:textFill>
              </w:rPr>
              <w:t>规模</w:t>
            </w:r>
          </w:p>
        </w:tc>
        <w:tc>
          <w:tcPr>
            <w:tcW w:w="12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备注</w:t>
            </w:r>
          </w:p>
        </w:tc>
        <w:tc>
          <w:tcPr>
            <w:tcW w:w="11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保护类型及级别</w:t>
            </w: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镇级</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行政村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自然村</w:t>
            </w:r>
          </w:p>
        </w:tc>
        <w:tc>
          <w:tcPr>
            <w:tcW w:w="4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21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restart"/>
            <w:tcBorders>
              <w:top w:val="single" w:color="000000"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bidi="ar"/>
                <w14:textFill>
                  <w14:solidFill>
                    <w14:schemeClr w14:val="tx1"/>
                  </w14:solidFill>
                </w14:textFill>
              </w:rPr>
              <w:t>环境空气、环境风险</w:t>
            </w:r>
          </w:p>
        </w:tc>
        <w:tc>
          <w:tcPr>
            <w:tcW w:w="41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大洋镇</w:t>
            </w:r>
          </w:p>
        </w:tc>
        <w:tc>
          <w:tcPr>
            <w:tcW w:w="6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徐店村</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里埂坞</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1550</w:t>
            </w:r>
          </w:p>
        </w:tc>
        <w:tc>
          <w:tcPr>
            <w:tcW w:w="21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常住居民户360户，常住人口1145人</w:t>
            </w: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环境空气二类区</w:t>
            </w: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val="en-US" w:eastAsia="zh-CN"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徐店村</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eastAsia" w:cs="Times New Roman"/>
                <w:color w:val="000000" w:themeColor="text1"/>
                <w:kern w:val="0"/>
                <w:sz w:val="18"/>
                <w:szCs w:val="18"/>
                <w:highlight w:val="none"/>
                <w:lang w:val="en-US" w:eastAsia="zh-CN" w:bidi="ar"/>
                <w14:textFill>
                  <w14:solidFill>
                    <w14:schemeClr w14:val="tx1"/>
                  </w14:solidFill>
                </w14:textFill>
              </w:rPr>
              <w:t>1080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下埂坞</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710</w:t>
            </w:r>
          </w:p>
        </w:tc>
        <w:tc>
          <w:tcPr>
            <w:tcW w:w="21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麻车里</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1254</w:t>
            </w:r>
          </w:p>
        </w:tc>
        <w:tc>
          <w:tcPr>
            <w:tcW w:w="21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里张</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1800</w:t>
            </w:r>
          </w:p>
        </w:tc>
        <w:tc>
          <w:tcPr>
            <w:tcW w:w="21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上源村</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上源村</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2060</w:t>
            </w:r>
          </w:p>
        </w:tc>
        <w:tc>
          <w:tcPr>
            <w:tcW w:w="21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农户646户，总人口2209人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雷公山脚</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1440</w:t>
            </w:r>
          </w:p>
        </w:tc>
        <w:tc>
          <w:tcPr>
            <w:tcW w:w="21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鲁塘村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鲁塘村</w:t>
            </w:r>
          </w:p>
        </w:tc>
        <w:tc>
          <w:tcPr>
            <w:tcW w:w="4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SE</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2820</w:t>
            </w:r>
          </w:p>
        </w:tc>
        <w:tc>
          <w:tcPr>
            <w:tcW w:w="21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农户498户，总人口1618人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3"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东岳殿</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SE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2000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"http://www.tcmap.com.cn/zhejiangsheng/jiande_dayangzhen_hudiancun.html"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kern w:val="0"/>
                <w:sz w:val="18"/>
                <w:szCs w:val="18"/>
                <w:highlight w:val="none"/>
                <w:lang w:bidi="ar"/>
                <w14:textFill>
                  <w14:solidFill>
                    <w14:schemeClr w14:val="tx1"/>
                  </w14:solidFill>
                </w14:textFill>
              </w:rPr>
              <w:t>胡店村</w:t>
            </w:r>
            <w:r>
              <w:rPr>
                <w:rFonts w:hint="default" w:ascii="Times New Roman" w:hAnsi="Times New Roman" w:cs="Times New Roman"/>
                <w:color w:val="000000" w:themeColor="text1"/>
                <w:kern w:val="0"/>
                <w:sz w:val="18"/>
                <w:szCs w:val="18"/>
                <w:highlight w:val="none"/>
                <w:lang w:bidi="ar"/>
                <w14:textFill>
                  <w14:solidFill>
                    <w14:schemeClr w14:val="tx1"/>
                  </w14:solidFill>
                </w14:textFill>
              </w:rPr>
              <w:fldChar w:fldCharType="end"/>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后仇</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1290</w:t>
            </w:r>
          </w:p>
        </w:tc>
        <w:tc>
          <w:tcPr>
            <w:tcW w:w="21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总人口为1410人，现有农户410户</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塘坞庵</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760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 HYPERLINK "http://www.tcmap.com.cn/zhejiangsheng/jiande_dayangzhen_hudiancun.html" </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Fonts w:hint="default" w:ascii="Times New Roman" w:hAnsi="Times New Roman" w:cs="Times New Roman"/>
                <w:color w:val="000000" w:themeColor="text1"/>
                <w:kern w:val="0"/>
                <w:sz w:val="18"/>
                <w:szCs w:val="18"/>
                <w:highlight w:val="none"/>
                <w:lang w:bidi="ar"/>
                <w14:textFill>
                  <w14:solidFill>
                    <w14:schemeClr w14:val="tx1"/>
                  </w14:solidFill>
                </w14:textFill>
              </w:rPr>
              <w:t>胡店村</w:t>
            </w:r>
            <w:r>
              <w:rPr>
                <w:rFonts w:hint="default" w:ascii="Times New Roman" w:hAnsi="Times New Roman" w:cs="Times New Roman"/>
                <w:color w:val="000000" w:themeColor="text1"/>
                <w:kern w:val="0"/>
                <w:sz w:val="18"/>
                <w:szCs w:val="18"/>
                <w:highlight w:val="none"/>
                <w:lang w:bidi="ar"/>
                <w14:textFill>
                  <w14:solidFill>
                    <w14:schemeClr w14:val="tx1"/>
                  </w14:solidFill>
                </w14:textFill>
              </w:rPr>
              <w:fldChar w:fldCharType="end"/>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eastAsia" w:cs="Times New Roman"/>
                <w:color w:val="000000" w:themeColor="text1"/>
                <w:kern w:val="0"/>
                <w:sz w:val="18"/>
                <w:szCs w:val="18"/>
                <w:highlight w:val="none"/>
                <w:lang w:val="en-US" w:eastAsia="zh-CN" w:bidi="ar"/>
                <w14:textFill>
                  <w14:solidFill>
                    <w14:schemeClr w14:val="tx1"/>
                  </w14:solidFill>
                </w14:textFill>
              </w:rPr>
              <w:t>590</w:t>
            </w:r>
          </w:p>
        </w:tc>
        <w:tc>
          <w:tcPr>
            <w:tcW w:w="21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auto"/>
                <w:kern w:val="0"/>
                <w:sz w:val="18"/>
                <w:szCs w:val="18"/>
                <w:highlight w:val="none"/>
                <w:lang w:val="en-US" w:eastAsia="zh-CN" w:bidi="ar"/>
              </w:rPr>
              <w:t>党群服务中心</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auto"/>
                <w:kern w:val="0"/>
                <w:sz w:val="18"/>
                <w:szCs w:val="18"/>
                <w:highlight w:val="none"/>
                <w:lang w:bidi="ar"/>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auto"/>
                <w:kern w:val="0"/>
                <w:sz w:val="18"/>
                <w:szCs w:val="18"/>
                <w:highlight w:val="none"/>
                <w:lang w:val="en-US" w:eastAsia="zh-CN" w:bidi="ar"/>
              </w:rPr>
              <w:t>425</w:t>
            </w:r>
          </w:p>
        </w:tc>
        <w:tc>
          <w:tcPr>
            <w:tcW w:w="2152"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auto"/>
                <w:sz w:val="18"/>
                <w:szCs w:val="18"/>
                <w:highlight w:val="none"/>
                <w:lang w:val="en-US" w:eastAsia="zh-CN"/>
              </w:rPr>
              <w:t>行政办公</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auto"/>
                <w:sz w:val="18"/>
                <w:szCs w:val="18"/>
                <w:highlight w:val="none"/>
                <w:lang w:val="en-US" w:eastAsia="zh-CN"/>
              </w:rPr>
              <w:t>行政办公迁出</w:t>
            </w: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大洋村</w:t>
            </w: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突沙</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910</w:t>
            </w:r>
          </w:p>
        </w:tc>
        <w:tc>
          <w:tcPr>
            <w:tcW w:w="215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总人口为1436人，现有农户447户</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王村</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NE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kern w:val="0"/>
                <w:sz w:val="18"/>
                <w:szCs w:val="18"/>
                <w:highlight w:val="none"/>
                <w:lang w:val="en-US" w:eastAsia="zh-CN" w:bidi="ar"/>
                <w14:textFill>
                  <w14:solidFill>
                    <w14:schemeClr w14:val="tx1"/>
                  </w14:solidFill>
                </w14:textFill>
              </w:rPr>
              <w:t>900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里梓坊</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N</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kern w:val="0"/>
                <w:sz w:val="18"/>
                <w:szCs w:val="18"/>
                <w:highlight w:val="none"/>
                <w:lang w:val="en-US" w:eastAsia="zh-CN" w:bidi="ar"/>
                <w14:textFill>
                  <w14:solidFill>
                    <w14:schemeClr w14:val="tx1"/>
                  </w14:solidFill>
                </w14:textFill>
              </w:rPr>
              <w:t>1350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眉毛坞</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660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里村</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N</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val="en-US"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20</w:t>
            </w: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00</w:t>
            </w:r>
          </w:p>
        </w:tc>
        <w:tc>
          <w:tcPr>
            <w:tcW w:w="2152"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大洋村</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970</w:t>
            </w:r>
          </w:p>
        </w:tc>
        <w:tc>
          <w:tcPr>
            <w:tcW w:w="21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外梓坊</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N</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val="en-US"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1090</w:t>
            </w:r>
          </w:p>
        </w:tc>
        <w:tc>
          <w:tcPr>
            <w:tcW w:w="215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23"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建德市大洋初级中学</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1420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全校有22个教学班，1000多名学生,有教职工41人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69"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建德市大洋</w:t>
            </w: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中心小学</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750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学校有</w:t>
            </w: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17个班，</w:t>
            </w: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约</w:t>
            </w: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749名学生</w:t>
            </w: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，专任教师有40人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78" w:hRule="atLeast"/>
          <w:jc w:val="center"/>
        </w:trPr>
        <w:tc>
          <w:tcPr>
            <w:tcW w:w="798"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里黄村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风秋坞</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2500</w:t>
            </w:r>
          </w:p>
        </w:tc>
        <w:tc>
          <w:tcPr>
            <w:tcW w:w="2152"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农户464户，人口1564人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val="en-US" w:eastAsia="zh-CN" w:bidi="ar"/>
                <w14:textFill>
                  <w14:solidFill>
                    <w14:schemeClr w14:val="tx1"/>
                  </w14:solidFill>
                </w14:textFill>
              </w:rPr>
              <w:t>环境风险</w:t>
            </w:r>
          </w:p>
        </w:tc>
        <w:tc>
          <w:tcPr>
            <w:tcW w:w="41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梅城镇</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望山村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NW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5320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总人口2186人， 615户农户</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restart"/>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环境风险</w:t>
            </w: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滨江村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NE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eastAsia" w:cs="Times New Roman"/>
                <w:color w:val="000000" w:themeColor="text1"/>
                <w:kern w:val="0"/>
                <w:sz w:val="18"/>
                <w:szCs w:val="18"/>
                <w:highlight w:val="none"/>
                <w:lang w:val="en-US" w:eastAsia="zh-CN" w:bidi="ar"/>
                <w14:textFill>
                  <w14:solidFill>
                    <w14:schemeClr w14:val="tx1"/>
                  </w14:solidFill>
                </w14:textFill>
              </w:rPr>
              <w:t>3590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农户906户，总人口为2776人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大洋镇</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清源村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5100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农户491户，人口1638人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麻车村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SE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3850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总户数1082户，总人口3703人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里黄村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3000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农户464户，人口1564人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454" w:hRule="atLeast"/>
          <w:jc w:val="center"/>
        </w:trPr>
        <w:tc>
          <w:tcPr>
            <w:tcW w:w="798" w:type="dxa"/>
            <w:vMerge w:val="continue"/>
            <w:tcBorders>
              <w:left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庆丰村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eastAsia" w:cs="Times New Roman"/>
                <w:i w:val="0"/>
                <w:color w:val="000000" w:themeColor="text1"/>
                <w:kern w:val="0"/>
                <w:sz w:val="18"/>
                <w:szCs w:val="18"/>
                <w:highlight w:val="none"/>
                <w:u w:val="none"/>
                <w:lang w:val="en-US" w:eastAsia="zh-CN"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SW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i w:val="0"/>
                <w:color w:val="000000" w:themeColor="text1"/>
                <w:kern w:val="0"/>
                <w:sz w:val="18"/>
                <w:szCs w:val="18"/>
                <w:highlight w:val="none"/>
                <w:u w:val="none"/>
                <w:lang w:val="en-US" w:eastAsia="zh-CN" w:bidi="ar"/>
                <w14:textFill>
                  <w14:solidFill>
                    <w14:schemeClr w14:val="tx1"/>
                  </w14:solidFill>
                </w14:textFill>
              </w:rPr>
              <w:t>2800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eastAsia="宋体" w:cs="Times New Roman"/>
                <w:i w:val="0"/>
                <w:color w:val="000000" w:themeColor="text1"/>
                <w:kern w:val="0"/>
                <w:sz w:val="18"/>
                <w:szCs w:val="18"/>
                <w:highlight w:val="none"/>
                <w:u w:val="none"/>
                <w:lang w:val="en-US" w:eastAsia="zh-CN" w:bidi="ar"/>
                <w14:textFill>
                  <w14:solidFill>
                    <w14:schemeClr w14:val="tx1"/>
                  </w14:solidFill>
                </w14:textFill>
              </w:rPr>
              <w:t>总人口1645人，总农户501户</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p>
        </w:tc>
        <w:tc>
          <w:tcPr>
            <w:tcW w:w="410" w:type="dxa"/>
            <w:vMerge w:val="continue"/>
            <w:tcBorders>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color w:val="000000" w:themeColor="text1"/>
                <w:kern w:val="0"/>
                <w:sz w:val="18"/>
                <w:szCs w:val="18"/>
                <w:highlight w:val="none"/>
                <w:lang w:val="en-US" w:eastAsia="zh-CN" w:bidi="ar"/>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高垣村</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3660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color w:val="000000" w:themeColor="text1"/>
                <w:kern w:val="0"/>
                <w:sz w:val="18"/>
                <w:szCs w:val="18"/>
                <w:highlight w:val="none"/>
                <w:lang w:bidi="ar"/>
                <w14:textFill>
                  <w14:solidFill>
                    <w14:schemeClr w14:val="tx1"/>
                  </w14:solidFill>
                </w14:textFill>
              </w:rPr>
              <w:t>户数798户，人口2573人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Times New Roman" w:hAnsi="Times New Roman" w:cs="Times New Roman"/>
                <w:color w:val="000000" w:themeColor="text1"/>
                <w:sz w:val="18"/>
                <w:szCs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238" w:hRule="atLeast"/>
          <w:jc w:val="center"/>
        </w:trPr>
        <w:tc>
          <w:tcPr>
            <w:tcW w:w="798" w:type="dxa"/>
            <w:vMerge w:val="restart"/>
            <w:tcBorders>
              <w:top w:val="single" w:color="000000"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地表水</w:t>
            </w:r>
          </w:p>
        </w:tc>
        <w:tc>
          <w:tcPr>
            <w:tcW w:w="2090"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兰江</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E</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130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大河，河宽约500m</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水环境</w:t>
            </w:r>
            <w:r>
              <w:rPr>
                <w:rFonts w:hint="default" w:ascii="Times New Roman" w:hAnsi="Times New Roman" w:cs="Times New Roman"/>
                <w:color w:val="000000" w:themeColor="text1"/>
                <w:sz w:val="18"/>
                <w:szCs w:val="18"/>
                <w:highlight w:val="none"/>
                <w14:textFill>
                  <w14:solidFill>
                    <w14:schemeClr w14:val="tx1"/>
                  </w14:solidFill>
                </w14:textFill>
              </w:rPr>
              <w:fldChar w:fldCharType="begin"/>
            </w:r>
            <w:r>
              <w:rPr>
                <w:rFonts w:hint="default" w:ascii="Times New Roman" w:hAnsi="Times New Roman" w:cs="Times New Roman"/>
                <w:color w:val="000000" w:themeColor="text1"/>
                <w:sz w:val="18"/>
                <w:szCs w:val="18"/>
                <w:highlight w:val="none"/>
                <w14:textFill>
                  <w14:solidFill>
                    <w14:schemeClr w14:val="tx1"/>
                  </w14:solidFill>
                </w14:textFill>
              </w:rPr>
              <w:instrText xml:space="preserve"> = 3 \* ROMAN \* MERGEFORMAT </w:instrText>
            </w:r>
            <w:r>
              <w:rPr>
                <w:rFonts w:hint="default" w:ascii="Times New Roman" w:hAnsi="Times New Roman" w:cs="Times New Roman"/>
                <w:color w:val="000000" w:themeColor="text1"/>
                <w:sz w:val="18"/>
                <w:szCs w:val="18"/>
                <w:highlight w:val="none"/>
                <w14:textFill>
                  <w14:solidFill>
                    <w14:schemeClr w14:val="tx1"/>
                  </w14:solidFill>
                </w14:textFill>
              </w:rPr>
              <w:fldChar w:fldCharType="separate"/>
            </w:r>
            <w:r>
              <w:rPr>
                <w:rFonts w:hint="default" w:ascii="Times New Roman" w:hAnsi="Times New Roman" w:cs="Times New Roman"/>
                <w:color w:val="000000" w:themeColor="text1"/>
                <w:sz w:val="18"/>
                <w:szCs w:val="18"/>
                <w:highlight w:val="none"/>
                <w14:textFill>
                  <w14:solidFill>
                    <w14:schemeClr w14:val="tx1"/>
                  </w14:solidFill>
                </w14:textFill>
              </w:rPr>
              <w:t>Ⅲ</w:t>
            </w:r>
            <w:r>
              <w:rPr>
                <w:rFonts w:hint="default" w:ascii="Times New Roman" w:hAnsi="Times New Roman" w:cs="Times New Roman"/>
                <w:color w:val="000000" w:themeColor="text1"/>
                <w:sz w:val="18"/>
                <w:szCs w:val="18"/>
                <w:highlight w:val="none"/>
                <w14:textFill>
                  <w14:solidFill>
                    <w14:schemeClr w14:val="tx1"/>
                  </w14:solidFill>
                </w14:textFill>
              </w:rPr>
              <w:fldChar w:fldCharType="end"/>
            </w:r>
            <w:r>
              <w:rPr>
                <w:rFonts w:hint="default" w:ascii="Times New Roman" w:hAnsi="Times New Roman" w:cs="Times New Roman"/>
                <w:color w:val="000000" w:themeColor="text1"/>
                <w:sz w:val="18"/>
                <w:szCs w:val="18"/>
                <w:highlight w:val="none"/>
                <w14:textFill>
                  <w14:solidFill>
                    <w14:schemeClr w14:val="tx1"/>
                  </w14:solidFill>
                </w14:textFill>
              </w:rPr>
              <w:t>类</w:t>
            </w:r>
          </w:p>
        </w:tc>
      </w:tr>
      <w:tr>
        <w:tblPrEx>
          <w:tblLayout w:type="fixed"/>
          <w:tblCellMar>
            <w:top w:w="0" w:type="dxa"/>
            <w:left w:w="0" w:type="dxa"/>
            <w:bottom w:w="0" w:type="dxa"/>
            <w:right w:w="0" w:type="dxa"/>
          </w:tblCellMar>
        </w:tblPrEx>
        <w:trPr>
          <w:trHeight w:val="238" w:hRule="atLeast"/>
          <w:jc w:val="center"/>
        </w:trPr>
        <w:tc>
          <w:tcPr>
            <w:tcW w:w="798"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2090"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大洋溪</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S</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50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中河，河宽约70m</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水环境</w:t>
            </w: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II</w:t>
            </w:r>
            <w:r>
              <w:rPr>
                <w:rFonts w:hint="default" w:ascii="Times New Roman" w:hAnsi="Times New Roman" w:cs="Times New Roman"/>
                <w:color w:val="000000" w:themeColor="text1"/>
                <w:sz w:val="18"/>
                <w:szCs w:val="18"/>
                <w:highlight w:val="none"/>
                <w14:textFill>
                  <w14:solidFill>
                    <w14:schemeClr w14:val="tx1"/>
                  </w14:solidFill>
                </w14:textFill>
              </w:rPr>
              <w:t>类</w:t>
            </w:r>
          </w:p>
        </w:tc>
      </w:tr>
      <w:tr>
        <w:tblPrEx>
          <w:tblLayout w:type="fixed"/>
          <w:tblCellMar>
            <w:top w:w="0" w:type="dxa"/>
            <w:left w:w="0" w:type="dxa"/>
            <w:bottom w:w="0" w:type="dxa"/>
            <w:right w:w="0" w:type="dxa"/>
          </w:tblCellMar>
        </w:tblPrEx>
        <w:trPr>
          <w:trHeight w:val="238" w:hRule="atLeast"/>
          <w:jc w:val="center"/>
        </w:trPr>
        <w:tc>
          <w:tcPr>
            <w:tcW w:w="798" w:type="dxa"/>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地下水</w:t>
            </w:r>
          </w:p>
        </w:tc>
        <w:tc>
          <w:tcPr>
            <w:tcW w:w="5671" w:type="dxa"/>
            <w:gridSpan w:val="6"/>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评价区域内地下水环境</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保护地下水功能</w:t>
            </w:r>
          </w:p>
        </w:tc>
      </w:tr>
      <w:tr>
        <w:tblPrEx>
          <w:tblLayout w:type="fixed"/>
          <w:tblCellMar>
            <w:top w:w="0" w:type="dxa"/>
            <w:left w:w="0" w:type="dxa"/>
            <w:bottom w:w="0" w:type="dxa"/>
            <w:right w:w="0" w:type="dxa"/>
          </w:tblCellMar>
        </w:tblPrEx>
        <w:trPr>
          <w:trHeight w:val="238" w:hRule="atLeast"/>
          <w:jc w:val="center"/>
        </w:trPr>
        <w:tc>
          <w:tcPr>
            <w:tcW w:w="798" w:type="dxa"/>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土壤</w:t>
            </w:r>
          </w:p>
        </w:tc>
        <w:tc>
          <w:tcPr>
            <w:tcW w:w="5671" w:type="dxa"/>
            <w:gridSpan w:val="6"/>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t>场地土壤及评价区域内土壤、村庄及农用地</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保护土壤功能</w:t>
            </w:r>
          </w:p>
        </w:tc>
      </w:tr>
      <w:tr>
        <w:tblPrEx>
          <w:tblLayout w:type="fixed"/>
          <w:tblCellMar>
            <w:top w:w="0" w:type="dxa"/>
            <w:left w:w="0" w:type="dxa"/>
            <w:bottom w:w="0" w:type="dxa"/>
            <w:right w:w="0" w:type="dxa"/>
          </w:tblCellMar>
        </w:tblPrEx>
        <w:trPr>
          <w:trHeight w:val="238" w:hRule="atLeast"/>
          <w:jc w:val="center"/>
        </w:trPr>
        <w:tc>
          <w:tcPr>
            <w:tcW w:w="798" w:type="dxa"/>
            <w:vMerge w:val="restart"/>
            <w:tcBorders>
              <w:top w:val="single" w:color="000000" w:sz="4" w:space="0"/>
              <w:left w:val="single" w:color="auto"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color w:val="000000" w:themeColor="text1"/>
                <w:sz w:val="18"/>
                <w:szCs w:val="18"/>
                <w:highlight w:val="none"/>
                <w:lang w:val="en-US" w:eastAsia="zh-CN"/>
                <w14:textFill>
                  <w14:solidFill>
                    <w14:schemeClr w14:val="tx1"/>
                  </w14:solidFill>
                </w14:textFill>
              </w:rPr>
              <w:t>环境风险、生态保护</w:t>
            </w:r>
          </w:p>
        </w:tc>
        <w:tc>
          <w:tcPr>
            <w:tcW w:w="2090"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刘坞水库生态保护红线</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NW</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3300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水源涵养</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环境风险</w:t>
            </w:r>
          </w:p>
        </w:tc>
      </w:tr>
      <w:tr>
        <w:tblPrEx>
          <w:tblLayout w:type="fixed"/>
          <w:tblCellMar>
            <w:top w:w="0" w:type="dxa"/>
            <w:left w:w="0" w:type="dxa"/>
            <w:bottom w:w="0" w:type="dxa"/>
            <w:right w:w="0" w:type="dxa"/>
          </w:tblCellMar>
        </w:tblPrEx>
        <w:trPr>
          <w:trHeight w:val="463" w:hRule="atLeast"/>
          <w:jc w:val="center"/>
        </w:trPr>
        <w:tc>
          <w:tcPr>
            <w:tcW w:w="798" w:type="dxa"/>
            <w:vMerge w:val="continue"/>
            <w:tcBorders>
              <w:left w:val="single" w:color="auto"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2090" w:type="dxa"/>
            <w:gridSpan w:val="3"/>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“两江一湖”风景区外围保护带</w:t>
            </w:r>
          </w:p>
        </w:tc>
        <w:tc>
          <w:tcPr>
            <w:tcW w:w="4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N</w:t>
            </w:r>
          </w:p>
        </w:tc>
        <w:tc>
          <w:tcPr>
            <w:tcW w:w="10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eastAsia="宋体"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4460</w:t>
            </w:r>
          </w:p>
        </w:tc>
        <w:tc>
          <w:tcPr>
            <w:tcW w:w="2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风景区</w:t>
            </w:r>
          </w:p>
        </w:tc>
        <w:tc>
          <w:tcPr>
            <w:tcW w:w="12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20" w:lineRule="exact"/>
              <w:jc w:val="center"/>
              <w:rPr>
                <w:rFonts w:hint="default" w:ascii="Times New Roman" w:hAnsi="Times New Roman" w:cs="Times New Roman"/>
                <w:color w:val="000000" w:themeColor="text1"/>
                <w:sz w:val="18"/>
                <w:szCs w:val="18"/>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环境风险</w:t>
            </w:r>
          </w:p>
        </w:tc>
      </w:tr>
      <w:bookmarkEnd w:id="2"/>
    </w:tbl>
    <w:p>
      <w:pPr>
        <w:keepNext w:val="0"/>
        <w:keepLines w:val="0"/>
        <w:pageBreakBefore w:val="0"/>
        <w:widowControl w:val="0"/>
        <w:kinsoku/>
        <w:wordWrap/>
        <w:overflowPunct/>
        <w:topLinePunct w:val="0"/>
        <w:autoSpaceDE/>
        <w:autoSpaceDN/>
        <w:bidi w:val="0"/>
        <w:adjustRightInd/>
        <w:snapToGrid w:val="0"/>
        <w:spacing w:before="157" w:beforeLines="50" w:line="350" w:lineRule="exact"/>
        <w:jc w:val="left"/>
        <w:textAlignment w:val="auto"/>
        <w:outlineLvl w:val="0"/>
        <w:rPr>
          <w:rFonts w:ascii="Times New Roman" w:hAnsi="Times New Roman" w:eastAsia="宋体" w:cs="Times New Roman"/>
          <w:b/>
          <w:sz w:val="24"/>
          <w:szCs w:val="28"/>
        </w:rPr>
      </w:pPr>
      <w:r>
        <w:rPr>
          <w:rFonts w:ascii="Times New Roman" w:hAnsi="Times New Roman" w:eastAsia="宋体" w:cs="Times New Roman"/>
          <w:b/>
          <w:sz w:val="24"/>
          <w:szCs w:val="28"/>
        </w:rPr>
        <w:t>三、主要环境影响预测情况</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1、环境空气</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lang w:val="en-US" w:eastAsia="zh-CN"/>
        </w:rPr>
      </w:pPr>
      <w:r>
        <w:rPr>
          <w:rFonts w:ascii="Times New Roman" w:hAnsi="Times New Roman" w:cs="Times New Roman"/>
          <w:sz w:val="21"/>
          <w:szCs w:val="21"/>
          <w:highlight w:val="none"/>
        </w:rPr>
        <w:t>根据预测，本项目新增污染源正常排放下污染物</w:t>
      </w:r>
      <w:r>
        <w:rPr>
          <w:rFonts w:hint="eastAsia" w:ascii="Times New Roman" w:hAnsi="Times New Roman" w:cs="Times New Roman"/>
          <w:sz w:val="21"/>
          <w:szCs w:val="21"/>
          <w:highlight w:val="none"/>
        </w:rPr>
        <w:t>小时浓度和日均浓度贡献值的</w:t>
      </w:r>
      <w:r>
        <w:rPr>
          <w:rFonts w:ascii="Times New Roman" w:hAnsi="Times New Roman" w:cs="Times New Roman"/>
          <w:sz w:val="21"/>
          <w:szCs w:val="21"/>
          <w:highlight w:val="none"/>
        </w:rPr>
        <w:t>最大浓度占标率</w:t>
      </w:r>
      <w:r>
        <w:rPr>
          <w:rFonts w:hint="eastAsia" w:ascii="Times New Roman" w:hAnsi="Times New Roman" w:cs="Times New Roman"/>
          <w:sz w:val="21"/>
          <w:szCs w:val="21"/>
          <w:highlight w:val="none"/>
        </w:rPr>
        <w:t>均</w:t>
      </w:r>
      <w:r>
        <w:rPr>
          <w:rFonts w:ascii="Times New Roman" w:hAnsi="Times New Roman" w:cs="Times New Roman"/>
          <w:sz w:val="21"/>
          <w:szCs w:val="21"/>
          <w:highlight w:val="none"/>
        </w:rPr>
        <w:t>≤100%，年均浓度贡献值的最大浓度占标率</w:t>
      </w:r>
      <w:r>
        <w:rPr>
          <w:rFonts w:hint="eastAsia" w:ascii="Times New Roman" w:hAnsi="Times New Roman" w:cs="Times New Roman"/>
          <w:sz w:val="21"/>
          <w:szCs w:val="21"/>
          <w:highlight w:val="none"/>
        </w:rPr>
        <w:t>均</w:t>
      </w:r>
      <w:r>
        <w:rPr>
          <w:rFonts w:ascii="Times New Roman" w:hAnsi="Times New Roman" w:cs="Times New Roman"/>
          <w:sz w:val="21"/>
          <w:szCs w:val="21"/>
          <w:highlight w:val="none"/>
        </w:rPr>
        <w:t>≤30%</w:t>
      </w:r>
      <w:r>
        <w:rPr>
          <w:rFonts w:hint="eastAsia" w:ascii="Times New Roman" w:hAnsi="Times New Roman" w:cs="Times New Roman"/>
          <w:sz w:val="21"/>
          <w:szCs w:val="21"/>
          <w:highlight w:val="none"/>
        </w:rPr>
        <w:t>；</w:t>
      </w:r>
      <w:r>
        <w:rPr>
          <w:rFonts w:ascii="Times New Roman" w:hAnsi="Times New Roman" w:cs="Times New Roman"/>
          <w:sz w:val="21"/>
          <w:szCs w:val="21"/>
          <w:highlight w:val="none"/>
        </w:rPr>
        <w:t>叠加</w:t>
      </w:r>
      <w:r>
        <w:rPr>
          <w:rFonts w:hint="eastAsia" w:ascii="Times New Roman" w:hAnsi="Times New Roman" w:cs="Times New Roman"/>
          <w:sz w:val="21"/>
          <w:szCs w:val="21"/>
          <w:highlight w:val="none"/>
          <w:lang w:val="en-US" w:eastAsia="zh-CN"/>
        </w:rPr>
        <w:t>区域在建/拟建源及</w:t>
      </w:r>
      <w:r>
        <w:rPr>
          <w:rFonts w:ascii="Times New Roman" w:hAnsi="Times New Roman" w:cs="Times New Roman"/>
          <w:sz w:val="21"/>
          <w:szCs w:val="21"/>
          <w:highlight w:val="none"/>
        </w:rPr>
        <w:t>环境</w:t>
      </w:r>
      <w:r>
        <w:rPr>
          <w:rFonts w:hint="eastAsia" w:ascii="Times New Roman" w:hAnsi="Times New Roman" w:cs="Times New Roman"/>
          <w:sz w:val="21"/>
          <w:szCs w:val="21"/>
          <w:highlight w:val="none"/>
          <w:lang w:val="en-US" w:eastAsia="zh-CN"/>
        </w:rPr>
        <w:t>空气</w:t>
      </w:r>
      <w:r>
        <w:rPr>
          <w:rFonts w:ascii="Times New Roman" w:hAnsi="Times New Roman" w:cs="Times New Roman"/>
          <w:sz w:val="21"/>
          <w:szCs w:val="21"/>
          <w:highlight w:val="none"/>
        </w:rPr>
        <w:t>质量现状浓度后，常规污染</w:t>
      </w:r>
      <w:r>
        <w:rPr>
          <w:rFonts w:hint="eastAsia" w:ascii="Times New Roman" w:hAnsi="Times New Roman" w:cs="Times New Roman"/>
          <w:sz w:val="21"/>
          <w:szCs w:val="21"/>
          <w:highlight w:val="none"/>
          <w:lang w:val="en-US" w:eastAsia="zh-CN"/>
        </w:rPr>
        <w:t>因子</w:t>
      </w:r>
      <w:r>
        <w:rPr>
          <w:rFonts w:hint="eastAsia" w:ascii="Times New Roman" w:hAnsi="Times New Roman" w:cs="Times New Roman"/>
          <w:sz w:val="21"/>
          <w:szCs w:val="21"/>
          <w:highlight w:val="none"/>
        </w:rPr>
        <w:t>（NO</w:t>
      </w:r>
      <w:r>
        <w:rPr>
          <w:rFonts w:hint="eastAsia" w:ascii="Times New Roman" w:hAnsi="Times New Roman" w:cs="Times New Roman"/>
          <w:sz w:val="21"/>
          <w:szCs w:val="21"/>
          <w:highlight w:val="none"/>
          <w:vertAlign w:val="subscript"/>
        </w:rPr>
        <w:t>2</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TSP</w:t>
      </w:r>
      <w:r>
        <w:rPr>
          <w:rFonts w:hint="eastAsia" w:ascii="Times New Roman" w:hAnsi="Times New Roman" w:cs="Times New Roman"/>
          <w:sz w:val="21"/>
          <w:szCs w:val="21"/>
          <w:highlight w:val="none"/>
        </w:rPr>
        <w:t>、P</w:t>
      </w:r>
      <w:r>
        <w:rPr>
          <w:rFonts w:ascii="Times New Roman" w:hAnsi="Times New Roman" w:cs="Times New Roman"/>
          <w:sz w:val="21"/>
          <w:szCs w:val="21"/>
          <w:highlight w:val="none"/>
        </w:rPr>
        <w:t>M</w:t>
      </w:r>
      <w:r>
        <w:rPr>
          <w:rFonts w:ascii="Times New Roman" w:hAnsi="Times New Roman" w:cs="Times New Roman"/>
          <w:sz w:val="21"/>
          <w:szCs w:val="21"/>
          <w:highlight w:val="none"/>
          <w:vertAlign w:val="subscript"/>
        </w:rPr>
        <w:t>10</w:t>
      </w:r>
      <w:r>
        <w:rPr>
          <w:rFonts w:hint="eastAsia" w:ascii="Times New Roman" w:hAnsi="Times New Roman" w:cs="Times New Roman"/>
          <w:sz w:val="21"/>
          <w:szCs w:val="21"/>
          <w:highlight w:val="none"/>
        </w:rPr>
        <w:t>、P</w:t>
      </w:r>
      <w:r>
        <w:rPr>
          <w:rFonts w:ascii="Times New Roman" w:hAnsi="Times New Roman" w:cs="Times New Roman"/>
          <w:sz w:val="21"/>
          <w:szCs w:val="21"/>
          <w:highlight w:val="none"/>
        </w:rPr>
        <w:t>M</w:t>
      </w:r>
      <w:r>
        <w:rPr>
          <w:rFonts w:ascii="Times New Roman" w:hAnsi="Times New Roman" w:cs="Times New Roman"/>
          <w:sz w:val="21"/>
          <w:szCs w:val="21"/>
          <w:highlight w:val="none"/>
          <w:vertAlign w:val="subscript"/>
        </w:rPr>
        <w:t>2.5</w:t>
      </w:r>
      <w:r>
        <w:rPr>
          <w:rFonts w:hint="eastAsia" w:ascii="Times New Roman" w:hAnsi="Times New Roman" w:cs="Times New Roman"/>
          <w:sz w:val="21"/>
          <w:szCs w:val="21"/>
          <w:highlight w:val="none"/>
        </w:rPr>
        <w:t>）保证率日平均浓度和年均浓度均符合相应环境质量标准</w:t>
      </w:r>
      <w:r>
        <w:rPr>
          <w:rFonts w:hint="eastAsia" w:ascii="Times New Roman" w:hAnsi="Times New Roman" w:cs="Times New Roman"/>
          <w:sz w:val="21"/>
          <w:szCs w:val="21"/>
          <w:highlight w:val="none"/>
          <w:lang w:val="en-US" w:eastAsia="zh-CN"/>
        </w:rPr>
        <w:t>限值</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其他污染因子</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氨</w:t>
      </w:r>
      <w:r>
        <w:rPr>
          <w:rFonts w:hint="eastAsia" w:ascii="Times New Roman" w:hAnsi="Times New Roman" w:cs="Times New Roman"/>
          <w:sz w:val="21"/>
          <w:szCs w:val="21"/>
          <w:highlight w:val="none"/>
        </w:rPr>
        <w:t>等）</w:t>
      </w:r>
      <w:r>
        <w:rPr>
          <w:rFonts w:hint="default" w:ascii="Times New Roman" w:hAnsi="Times New Roman" w:cs="Times New Roman"/>
          <w:sz w:val="21"/>
          <w:szCs w:val="21"/>
          <w:highlight w:val="none"/>
          <w:lang w:val="en-US" w:eastAsia="zh-CN"/>
        </w:rPr>
        <w:t>叠加后短期浓度仍能满足相应环境质量标准限值，不会对区域环境空气质量造成明显影响。</w:t>
      </w:r>
      <w:r>
        <w:rPr>
          <w:rFonts w:hint="eastAsia" w:ascii="Times New Roman" w:hAnsi="Times New Roman" w:cs="Times New Roman"/>
          <w:sz w:val="21"/>
          <w:szCs w:val="21"/>
          <w:highlight w:val="none"/>
          <w:lang w:val="en-US" w:eastAsia="zh-CN"/>
        </w:rPr>
        <w:t>本项目</w:t>
      </w:r>
      <w:r>
        <w:rPr>
          <w:rFonts w:hint="default" w:ascii="Times New Roman" w:hAnsi="Times New Roman" w:cs="Times New Roman"/>
          <w:sz w:val="21"/>
          <w:szCs w:val="21"/>
          <w:highlight w:val="none"/>
          <w:lang w:val="en-US" w:eastAsia="zh-CN"/>
        </w:rPr>
        <w:t>无需设置大气环境防护距离。</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50" w:lineRule="exact"/>
        <w:ind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2、地表水</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本项目废水分类收集、分质处理。</w:t>
      </w:r>
      <w:r>
        <w:rPr>
          <w:rFonts w:ascii="Times New Roman" w:hAnsi="Times New Roman" w:cs="Times New Roman"/>
          <w:sz w:val="21"/>
          <w:szCs w:val="21"/>
          <w:highlight w:val="none"/>
        </w:rPr>
        <w:t>项目废水经</w:t>
      </w:r>
      <w:r>
        <w:rPr>
          <w:rFonts w:hint="eastAsia" w:ascii="Times New Roman" w:hAnsi="Times New Roman" w:cs="Times New Roman"/>
          <w:sz w:val="21"/>
          <w:szCs w:val="21"/>
          <w:highlight w:val="none"/>
          <w:lang w:val="en-US" w:eastAsia="zh-CN"/>
        </w:rPr>
        <w:t>车间预处理后纳入</w:t>
      </w:r>
      <w:r>
        <w:rPr>
          <w:rFonts w:hint="eastAsia" w:ascii="Times New Roman" w:hAnsi="Times New Roman" w:cs="Times New Roman"/>
          <w:sz w:val="21"/>
          <w:szCs w:val="21"/>
          <w:highlight w:val="none"/>
        </w:rPr>
        <w:t>厂内污水站</w:t>
      </w:r>
      <w:r>
        <w:rPr>
          <w:rFonts w:hint="eastAsia" w:ascii="Times New Roman" w:hAnsi="Times New Roman" w:cs="Times New Roman"/>
          <w:sz w:val="21"/>
          <w:szCs w:val="21"/>
          <w:highlight w:val="none"/>
          <w:lang w:eastAsia="zh-CN"/>
        </w:rPr>
        <w:t>，</w:t>
      </w:r>
      <w:r>
        <w:rPr>
          <w:rFonts w:ascii="Times New Roman" w:hAnsi="Times New Roman" w:cs="Times New Roman"/>
          <w:sz w:val="21"/>
          <w:szCs w:val="21"/>
          <w:highlight w:val="none"/>
        </w:rPr>
        <w:t>处理</w:t>
      </w:r>
      <w:r>
        <w:rPr>
          <w:rFonts w:hint="eastAsia" w:ascii="Times New Roman" w:hAnsi="Times New Roman" w:cs="Times New Roman"/>
          <w:sz w:val="21"/>
          <w:szCs w:val="21"/>
          <w:highlight w:val="none"/>
        </w:rPr>
        <w:t>达到纳管标准</w:t>
      </w:r>
      <w:r>
        <w:rPr>
          <w:rFonts w:ascii="Times New Roman" w:hAnsi="Times New Roman" w:cs="Times New Roman"/>
          <w:sz w:val="21"/>
          <w:szCs w:val="21"/>
          <w:highlight w:val="none"/>
        </w:rPr>
        <w:t>后纳入</w:t>
      </w:r>
      <w:r>
        <w:rPr>
          <w:rFonts w:hint="eastAsia" w:ascii="Times New Roman" w:hAnsi="Times New Roman" w:cs="Times New Roman"/>
          <w:sz w:val="21"/>
          <w:szCs w:val="21"/>
          <w:highlight w:val="none"/>
          <w:lang w:val="en-US" w:eastAsia="zh-CN"/>
        </w:rPr>
        <w:t>区域污水处理厂</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经区域污水处理厂</w:t>
      </w:r>
      <w:r>
        <w:rPr>
          <w:rFonts w:ascii="Times New Roman" w:hAnsi="Times New Roman" w:cs="Times New Roman"/>
          <w:sz w:val="21"/>
          <w:szCs w:val="21"/>
          <w:highlight w:val="none"/>
        </w:rPr>
        <w:t>处理后达标排放</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正常情况下</w:t>
      </w:r>
      <w:r>
        <w:rPr>
          <w:rFonts w:ascii="Times New Roman" w:hAnsi="Times New Roman" w:cs="Times New Roman"/>
          <w:sz w:val="21"/>
          <w:szCs w:val="21"/>
          <w:highlight w:val="none"/>
        </w:rPr>
        <w:t>对附近</w:t>
      </w:r>
      <w:r>
        <w:rPr>
          <w:rFonts w:hint="eastAsia" w:ascii="Times New Roman" w:hAnsi="Times New Roman" w:cs="Times New Roman"/>
          <w:sz w:val="21"/>
          <w:szCs w:val="21"/>
          <w:highlight w:val="none"/>
          <w:lang w:val="en-US" w:eastAsia="zh-CN"/>
        </w:rPr>
        <w:t>地表水体</w:t>
      </w:r>
      <w:r>
        <w:rPr>
          <w:rFonts w:ascii="Times New Roman" w:hAnsi="Times New Roman" w:cs="Times New Roman"/>
          <w:sz w:val="21"/>
          <w:szCs w:val="21"/>
          <w:highlight w:val="none"/>
        </w:rPr>
        <w:t>影响不大。</w:t>
      </w:r>
      <w:r>
        <w:rPr>
          <w:rFonts w:hint="default" w:ascii="Times New Roman" w:hAnsi="Times New Roman" w:cs="Times New Roman"/>
          <w:sz w:val="21"/>
          <w:szCs w:val="21"/>
          <w:highlight w:val="none"/>
          <w:lang w:val="en-US" w:eastAsia="zh-CN"/>
        </w:rPr>
        <w:t>要求企业严格执行清污分流，保证废水处理设施的正常运行，要严防事故性排放。</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3、地下水及土壤</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厂区在工程上采取分区防渗，</w:t>
      </w:r>
      <w:r>
        <w:rPr>
          <w:rFonts w:hint="default" w:ascii="Times New Roman" w:hAnsi="Times New Roman" w:cs="Times New Roman"/>
          <w:sz w:val="21"/>
          <w:szCs w:val="21"/>
          <w:highlight w:val="none"/>
        </w:rPr>
        <w:t>切实落实废水的收集、输送以及各类危化品和固废的贮存工作，做好各类设施及地面的防腐、防渗措施，加强废气治理设施运行维护，在此基础上，本项目的建设</w:t>
      </w:r>
      <w:r>
        <w:rPr>
          <w:rFonts w:hint="eastAsia" w:ascii="Times New Roman" w:hAnsi="Times New Roman" w:cs="Times New Roman"/>
          <w:sz w:val="21"/>
          <w:szCs w:val="21"/>
          <w:highlight w:val="none"/>
          <w:lang w:val="en-US" w:eastAsia="zh-CN"/>
        </w:rPr>
        <w:t>正常工况下</w:t>
      </w:r>
      <w:r>
        <w:rPr>
          <w:rFonts w:hint="default" w:ascii="Times New Roman" w:hAnsi="Times New Roman" w:cs="Times New Roman"/>
          <w:sz w:val="21"/>
          <w:szCs w:val="21"/>
          <w:highlight w:val="none"/>
          <w:lang w:val="en-US" w:eastAsia="zh-CN"/>
        </w:rPr>
        <w:t>不会对地下水环境造成影响</w:t>
      </w:r>
      <w:r>
        <w:rPr>
          <w:rFonts w:hint="eastAsia" w:ascii="Times New Roman" w:hAnsi="Times New Roman" w:cs="Times New Roman"/>
          <w:sz w:val="21"/>
          <w:szCs w:val="21"/>
          <w:highlight w:val="none"/>
          <w:lang w:val="en-US" w:eastAsia="zh-CN"/>
        </w:rPr>
        <w:t>，对</w:t>
      </w:r>
      <w:r>
        <w:rPr>
          <w:rFonts w:hint="default" w:ascii="Times New Roman" w:hAnsi="Times New Roman" w:cs="Times New Roman"/>
          <w:sz w:val="21"/>
          <w:szCs w:val="21"/>
          <w:highlight w:val="none"/>
        </w:rPr>
        <w:t>土壤环境影响可接受。</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4</w:t>
      </w:r>
      <w:r>
        <w:rPr>
          <w:rFonts w:ascii="Times New Roman" w:hAnsi="Times New Roman" w:cs="Times New Roman"/>
          <w:sz w:val="21"/>
          <w:szCs w:val="21"/>
          <w:highlight w:val="none"/>
        </w:rPr>
        <w:t>、噪声</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eastAsia"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本项目各噪声源在采取隔声降噪措施后对厂界声环境影响较小，可以满足相应声环境质量标准要求</w:t>
      </w:r>
      <w:r>
        <w:rPr>
          <w:rFonts w:hint="eastAsia" w:ascii="Times New Roman" w:hAnsi="Times New Roman" w:cs="Times New Roman"/>
          <w:sz w:val="21"/>
          <w:szCs w:val="21"/>
          <w:highlight w:val="none"/>
          <w:lang w:val="en-US" w:eastAsia="zh-CN"/>
        </w:rPr>
        <w:t>。</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5</w:t>
      </w:r>
      <w:r>
        <w:rPr>
          <w:rFonts w:ascii="Times New Roman" w:hAnsi="Times New Roman" w:cs="Times New Roman"/>
          <w:sz w:val="21"/>
          <w:szCs w:val="21"/>
          <w:highlight w:val="none"/>
        </w:rPr>
        <w:t>、固废</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hint="eastAsia" w:ascii="Times New Roman" w:hAnsi="Times New Roman" w:cs="Times New Roman"/>
          <w:sz w:val="21"/>
          <w:szCs w:val="21"/>
          <w:highlight w:val="none"/>
        </w:rPr>
        <w:t>项目产生的固体废物均可以得到妥善处理，不会对周围环境产生影响</w:t>
      </w:r>
      <w:r>
        <w:rPr>
          <w:rFonts w:ascii="Times New Roman" w:hAnsi="Times New Roman" w:cs="Times New Roman"/>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6</w:t>
      </w:r>
      <w:r>
        <w:rPr>
          <w:rFonts w:hint="eastAsia" w:ascii="Times New Roman" w:hAnsi="Times New Roman" w:cs="Times New Roman"/>
          <w:sz w:val="21"/>
          <w:szCs w:val="21"/>
          <w:highlight w:val="none"/>
        </w:rPr>
        <w:t>、事故风险</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rPr>
        <w:t>根据事故风险影响分析，项目最大可信事故为有毒有害物料泄漏等，</w:t>
      </w:r>
      <w:r>
        <w:rPr>
          <w:rFonts w:hint="default" w:ascii="Times New Roman" w:hAnsi="Times New Roman" w:cs="Times New Roman"/>
          <w:sz w:val="21"/>
          <w:szCs w:val="21"/>
          <w:highlight w:val="none"/>
          <w:lang w:val="en-US" w:eastAsia="zh-CN"/>
        </w:rPr>
        <w:t>根据事故预测及评价结果，在保证设备质量及人员管理和操作水平，切实落实安全防范措施和应急对策的基础上，事故风险水平可以接受。</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7、生态</w:t>
      </w:r>
    </w:p>
    <w:p>
      <w:pPr>
        <w:keepNext w:val="0"/>
        <w:keepLines w:val="0"/>
        <w:pageBreakBefore w:val="0"/>
        <w:widowControl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企业</w:t>
      </w:r>
      <w:r>
        <w:rPr>
          <w:rFonts w:hint="eastAsia" w:ascii="Times New Roman" w:hAnsi="Times New Roman" w:cs="Times New Roman"/>
          <w:sz w:val="21"/>
          <w:szCs w:val="21"/>
          <w:highlight w:val="none"/>
          <w:lang w:val="en-US" w:eastAsia="zh-CN"/>
        </w:rPr>
        <w:t>在采取必要的污染防治及风险防控措施，确保污染防治</w:t>
      </w:r>
      <w:r>
        <w:rPr>
          <w:rFonts w:hint="default" w:ascii="Times New Roman" w:hAnsi="Times New Roman" w:cs="Times New Roman"/>
          <w:sz w:val="21"/>
          <w:szCs w:val="21"/>
          <w:highlight w:val="none"/>
        </w:rPr>
        <w:t>设施</w:t>
      </w:r>
      <w:r>
        <w:rPr>
          <w:rFonts w:hint="eastAsia" w:ascii="Times New Roman" w:hAnsi="Times New Roman" w:cs="Times New Roman"/>
          <w:sz w:val="21"/>
          <w:szCs w:val="21"/>
          <w:highlight w:val="none"/>
          <w:lang w:val="en-US" w:eastAsia="zh-CN"/>
        </w:rPr>
        <w:t>及风险防控设施</w:t>
      </w:r>
      <w:r>
        <w:rPr>
          <w:rFonts w:hint="default" w:ascii="Times New Roman" w:hAnsi="Times New Roman" w:cs="Times New Roman"/>
          <w:sz w:val="21"/>
          <w:szCs w:val="21"/>
          <w:highlight w:val="none"/>
        </w:rPr>
        <w:t>正常运行</w:t>
      </w:r>
      <w:r>
        <w:rPr>
          <w:rFonts w:hint="eastAsia" w:ascii="Times New Roman" w:hAnsi="Times New Roman" w:cs="Times New Roman"/>
          <w:sz w:val="21"/>
          <w:szCs w:val="21"/>
          <w:highlight w:val="none"/>
          <w:lang w:val="en-US" w:eastAsia="zh-CN"/>
        </w:rPr>
        <w:t>的基础上</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基本不会对周边生态环境造成不利影响。</w:t>
      </w:r>
    </w:p>
    <w:p>
      <w:pPr>
        <w:keepNext w:val="0"/>
        <w:keepLines w:val="0"/>
        <w:pageBreakBefore w:val="0"/>
        <w:kinsoku/>
        <w:wordWrap/>
        <w:overflowPunct/>
        <w:topLinePunct w:val="0"/>
        <w:autoSpaceDE/>
        <w:autoSpaceDN/>
        <w:bidi w:val="0"/>
        <w:adjustRightInd/>
        <w:snapToGrid w:val="0"/>
        <w:spacing w:line="350" w:lineRule="exact"/>
        <w:jc w:val="left"/>
        <w:textAlignment w:val="auto"/>
        <w:outlineLvl w:val="0"/>
        <w:rPr>
          <w:rFonts w:ascii="Times New Roman" w:hAnsi="Times New Roman" w:eastAsia="宋体" w:cs="Times New Roman"/>
          <w:b/>
          <w:sz w:val="24"/>
          <w:szCs w:val="28"/>
          <w:highlight w:val="none"/>
        </w:rPr>
      </w:pPr>
      <w:r>
        <w:rPr>
          <w:rFonts w:ascii="Times New Roman" w:hAnsi="Times New Roman" w:eastAsia="宋体" w:cs="Times New Roman"/>
          <w:b/>
          <w:sz w:val="24"/>
          <w:szCs w:val="28"/>
          <w:highlight w:val="none"/>
        </w:rPr>
        <w:t>四、拟采取的主要环境保护措施、环境风险防范措施以及预期效果</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（1）废气：</w:t>
      </w:r>
      <w:r>
        <w:rPr>
          <w:rFonts w:hint="eastAsia" w:ascii="Times New Roman" w:hAnsi="Times New Roman" w:eastAsia="宋体" w:cs="Times New Roman"/>
          <w:sz w:val="21"/>
          <w:szCs w:val="21"/>
          <w:highlight w:val="none"/>
          <w:lang w:val="en-US" w:eastAsia="zh-CN"/>
        </w:rPr>
        <w:t>本项目工艺废气经</w:t>
      </w:r>
      <w:r>
        <w:rPr>
          <w:rFonts w:hint="eastAsia" w:ascii="Times New Roman" w:hAnsi="Times New Roman" w:cs="Times New Roman"/>
          <w:sz w:val="21"/>
          <w:szCs w:val="21"/>
          <w:highlight w:val="none"/>
          <w:lang w:val="en-US" w:eastAsia="zh-CN"/>
        </w:rPr>
        <w:t>除尘、洗涤等装置</w:t>
      </w:r>
      <w:r>
        <w:rPr>
          <w:rFonts w:hint="eastAsia" w:ascii="Times New Roman" w:hAnsi="Times New Roman" w:eastAsia="宋体" w:cs="Times New Roman"/>
          <w:sz w:val="21"/>
          <w:szCs w:val="21"/>
          <w:highlight w:val="none"/>
          <w:lang w:val="en-US" w:eastAsia="zh-CN"/>
        </w:rPr>
        <w:t>处理后</w:t>
      </w:r>
      <w:r>
        <w:rPr>
          <w:rFonts w:hint="eastAsia" w:ascii="Times New Roman" w:hAnsi="Times New Roman" w:cs="Times New Roman"/>
          <w:sz w:val="21"/>
          <w:szCs w:val="21"/>
          <w:highlight w:val="none"/>
          <w:lang w:val="en-US" w:eastAsia="zh-CN"/>
        </w:rPr>
        <w:t>排放，NOx经碱洗后纳入拟建</w:t>
      </w:r>
      <w:r>
        <w:rPr>
          <w:rFonts w:hint="eastAsia" w:ascii="Times New Roman" w:hAnsi="Times New Roman" w:eastAsia="宋体" w:cs="Times New Roman"/>
          <w:sz w:val="21"/>
          <w:szCs w:val="21"/>
          <w:highlight w:val="none"/>
          <w:lang w:val="en-US" w:eastAsia="zh-CN"/>
        </w:rPr>
        <w:t>的TO炉</w:t>
      </w:r>
      <w:r>
        <w:rPr>
          <w:rFonts w:hint="eastAsia" w:ascii="Times New Roman" w:hAnsi="Times New Roman" w:cs="Times New Roman"/>
          <w:sz w:val="21"/>
          <w:szCs w:val="21"/>
          <w:highlight w:val="none"/>
          <w:lang w:val="en-US" w:eastAsia="zh-CN"/>
        </w:rPr>
        <w:t>进行脱硝处理</w:t>
      </w:r>
      <w:r>
        <w:rPr>
          <w:rFonts w:hint="eastAsia" w:ascii="Times New Roman" w:hAnsi="Times New Roman" w:eastAsia="宋体" w:cs="Times New Roman"/>
          <w:sz w:val="21"/>
          <w:szCs w:val="21"/>
          <w:highlight w:val="none"/>
          <w:lang w:val="en-US" w:eastAsia="zh-CN"/>
        </w:rPr>
        <w:t>。</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（2）废水：</w:t>
      </w:r>
      <w:r>
        <w:rPr>
          <w:rFonts w:hint="default" w:ascii="Times New Roman" w:hAnsi="Times New Roman" w:eastAsia="宋体" w:cs="Times New Roman"/>
          <w:sz w:val="21"/>
          <w:szCs w:val="21"/>
          <w:highlight w:val="none"/>
          <w:lang w:val="en-US" w:eastAsia="zh-CN"/>
        </w:rPr>
        <w:t>厂区实行清污分流、雨污分流</w:t>
      </w:r>
      <w:r>
        <w:rPr>
          <w:rFonts w:hint="eastAsia" w:ascii="Times New Roman" w:hAnsi="Times New Roman" w:eastAsia="宋体" w:cs="Times New Roman"/>
          <w:sz w:val="21"/>
          <w:szCs w:val="21"/>
          <w:highlight w:val="none"/>
          <w:lang w:val="en-US" w:eastAsia="zh-CN"/>
        </w:rPr>
        <w:t>；废水分类收集、分质处理。</w:t>
      </w:r>
      <w:r>
        <w:rPr>
          <w:rFonts w:ascii="Times New Roman" w:hAnsi="Times New Roman" w:eastAsia="宋体" w:cs="Times New Roman"/>
          <w:sz w:val="21"/>
          <w:szCs w:val="21"/>
          <w:highlight w:val="none"/>
        </w:rPr>
        <w:t>项目废水经</w:t>
      </w:r>
      <w:r>
        <w:rPr>
          <w:rFonts w:hint="eastAsia" w:ascii="Times New Roman" w:hAnsi="Times New Roman" w:eastAsia="宋体" w:cs="Times New Roman"/>
          <w:sz w:val="21"/>
          <w:szCs w:val="21"/>
          <w:highlight w:val="none"/>
        </w:rPr>
        <w:t>厂内污水站</w:t>
      </w:r>
      <w:r>
        <w:rPr>
          <w:rFonts w:ascii="Times New Roman" w:hAnsi="Times New Roman" w:eastAsia="宋体" w:cs="Times New Roman"/>
          <w:sz w:val="21"/>
          <w:szCs w:val="21"/>
          <w:highlight w:val="none"/>
        </w:rPr>
        <w:t>处理</w:t>
      </w:r>
      <w:r>
        <w:rPr>
          <w:rFonts w:hint="eastAsia" w:ascii="Times New Roman" w:hAnsi="Times New Roman" w:eastAsia="宋体" w:cs="Times New Roman"/>
          <w:sz w:val="21"/>
          <w:szCs w:val="21"/>
          <w:highlight w:val="none"/>
        </w:rPr>
        <w:t>达到纳管标准</w:t>
      </w:r>
      <w:r>
        <w:rPr>
          <w:rFonts w:ascii="Times New Roman" w:hAnsi="Times New Roman" w:eastAsia="宋体" w:cs="Times New Roman"/>
          <w:sz w:val="21"/>
          <w:szCs w:val="21"/>
          <w:highlight w:val="none"/>
        </w:rPr>
        <w:t>后纳入</w:t>
      </w:r>
      <w:r>
        <w:rPr>
          <w:rFonts w:hint="eastAsia" w:ascii="Times New Roman" w:hAnsi="Times New Roman" w:eastAsia="宋体" w:cs="Times New Roman"/>
          <w:sz w:val="21"/>
          <w:szCs w:val="21"/>
          <w:highlight w:val="none"/>
          <w:lang w:val="en-US" w:eastAsia="zh-CN"/>
        </w:rPr>
        <w:t>区域污水处理厂</w:t>
      </w:r>
      <w:r>
        <w:rPr>
          <w:rFonts w:hint="eastAsia"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各类废水经处理后能够实现达标排放。</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）固废：</w:t>
      </w:r>
      <w:r>
        <w:rPr>
          <w:rFonts w:hint="eastAsia" w:ascii="Times New Roman" w:hAnsi="Times New Roman" w:eastAsia="宋体" w:cs="Times New Roman"/>
          <w:sz w:val="21"/>
          <w:szCs w:val="21"/>
          <w:highlight w:val="none"/>
          <w:lang w:val="en-US" w:eastAsia="zh-CN"/>
        </w:rPr>
        <w:t>项目依托现有危废暂存库，危废委托有资质单位规范处置。各类固废均</w:t>
      </w:r>
      <w:r>
        <w:rPr>
          <w:rFonts w:hint="eastAsia" w:ascii="Times New Roman" w:hAnsi="Times New Roman" w:cs="Times New Roman"/>
          <w:sz w:val="21"/>
          <w:szCs w:val="21"/>
          <w:highlight w:val="none"/>
          <w:lang w:val="en-US" w:eastAsia="zh-CN"/>
        </w:rPr>
        <w:t>可</w:t>
      </w:r>
      <w:r>
        <w:rPr>
          <w:rFonts w:hint="eastAsia" w:ascii="Times New Roman" w:hAnsi="Times New Roman" w:eastAsia="宋体" w:cs="Times New Roman"/>
          <w:sz w:val="21"/>
          <w:szCs w:val="21"/>
          <w:highlight w:val="none"/>
          <w:lang w:val="en-US" w:eastAsia="zh-CN"/>
        </w:rPr>
        <w:t>妥善处置，不会对周围环境产生影响。</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）地下水：以“源头控制、分区防控、污染监控、应急响应”的原则，强化地下水的防渗与监控。</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）土壤：从源头、过程、风险等方面进行</w:t>
      </w:r>
      <w:r>
        <w:rPr>
          <w:rFonts w:hint="eastAsia" w:ascii="Times New Roman" w:hAnsi="Times New Roman" w:eastAsia="宋体" w:cs="Times New Roman"/>
          <w:sz w:val="21"/>
          <w:szCs w:val="21"/>
          <w:highlight w:val="none"/>
          <w:lang w:val="en-US" w:eastAsia="zh-CN"/>
        </w:rPr>
        <w:t>管控</w:t>
      </w:r>
      <w:r>
        <w:rPr>
          <w:rFonts w:hint="default" w:ascii="Times New Roman" w:hAnsi="Times New Roman" w:eastAsia="宋体" w:cs="Times New Roman"/>
          <w:sz w:val="21"/>
          <w:szCs w:val="21"/>
          <w:highlight w:val="none"/>
          <w:lang w:val="en-US" w:eastAsia="zh-CN"/>
        </w:rPr>
        <w:t>，在采取本环评提出的土壤污染防治措施后，可以把本项目污染土壤的可能性降到最低程度。</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val="en-US" w:eastAsia="zh-CN"/>
        </w:rPr>
        <w:t>）噪声：合理布局，选用低噪声设备，局部隔声，对高噪声设备采取消声、减振等措施，加强设备运转维护，不会对周边声环境质量造成</w:t>
      </w:r>
      <w:r>
        <w:rPr>
          <w:rFonts w:hint="eastAsia" w:ascii="Times New Roman" w:hAnsi="Times New Roman" w:eastAsia="宋体" w:cs="Times New Roman"/>
          <w:sz w:val="21"/>
          <w:szCs w:val="21"/>
          <w:highlight w:val="none"/>
          <w:lang w:val="en-US" w:eastAsia="zh-CN"/>
        </w:rPr>
        <w:t>明显</w:t>
      </w:r>
      <w:r>
        <w:rPr>
          <w:rFonts w:hint="default" w:ascii="Times New Roman" w:hAnsi="Times New Roman" w:eastAsia="宋体" w:cs="Times New Roman"/>
          <w:sz w:val="21"/>
          <w:szCs w:val="21"/>
          <w:highlight w:val="none"/>
          <w:lang w:val="en-US" w:eastAsia="zh-CN"/>
        </w:rPr>
        <w:t>影响。</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）环境风险：通过加强物料贮存管理，制定相应废气处理设施操作规程，定期维修</w:t>
      </w:r>
      <w:r>
        <w:rPr>
          <w:rFonts w:hint="eastAsia" w:ascii="Times New Roman" w:hAnsi="Times New Roman" w:eastAsia="宋体" w:cs="Times New Roman"/>
          <w:sz w:val="21"/>
          <w:szCs w:val="21"/>
          <w:highlight w:val="none"/>
          <w:lang w:val="en-US" w:eastAsia="zh-CN"/>
        </w:rPr>
        <w:t>，做好日常维护</w:t>
      </w:r>
      <w:r>
        <w:rPr>
          <w:rFonts w:hint="default" w:ascii="Times New Roman" w:hAnsi="Times New Roman" w:eastAsia="宋体" w:cs="Times New Roman"/>
          <w:sz w:val="21"/>
          <w:szCs w:val="21"/>
          <w:highlight w:val="none"/>
          <w:lang w:val="en-US" w:eastAsia="zh-CN"/>
        </w:rPr>
        <w:t>，紧急时停产修复，落实事故废水收集措施并采用应急池贮存等相应手段降低风险发生概率；并在事故发生后，及时采取风险防范措施及应急预案，将事故风险控制在可接受范围内。</w:t>
      </w:r>
    </w:p>
    <w:p>
      <w:pPr>
        <w:keepNext w:val="0"/>
        <w:keepLines w:val="0"/>
        <w:pageBreakBefore w:val="0"/>
        <w:kinsoku/>
        <w:wordWrap/>
        <w:overflowPunct/>
        <w:topLinePunct w:val="0"/>
        <w:autoSpaceDE/>
        <w:autoSpaceDN/>
        <w:bidi w:val="0"/>
        <w:adjustRightInd/>
        <w:snapToGrid w:val="0"/>
        <w:spacing w:line="350" w:lineRule="exact"/>
        <w:jc w:val="left"/>
        <w:textAlignment w:val="auto"/>
        <w:outlineLvl w:val="0"/>
        <w:rPr>
          <w:rFonts w:ascii="Times New Roman" w:hAnsi="Times New Roman" w:eastAsia="宋体" w:cs="Times New Roman"/>
          <w:b/>
          <w:sz w:val="24"/>
          <w:szCs w:val="28"/>
          <w:highlight w:val="none"/>
        </w:rPr>
      </w:pPr>
      <w:r>
        <w:rPr>
          <w:rFonts w:ascii="Times New Roman" w:hAnsi="Times New Roman" w:eastAsia="宋体" w:cs="Times New Roman"/>
          <w:b/>
          <w:sz w:val="24"/>
          <w:szCs w:val="28"/>
          <w:highlight w:val="none"/>
        </w:rPr>
        <w:t>五、环境影响评价初步结论</w:t>
      </w:r>
    </w:p>
    <w:p>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浙江新化化工股份有限公司</w:t>
      </w:r>
      <w:r>
        <w:rPr>
          <w:rFonts w:hint="default" w:ascii="Times New Roman" w:hAnsi="Times New Roman" w:cs="Times New Roman"/>
          <w:kern w:val="2"/>
          <w:sz w:val="21"/>
          <w:szCs w:val="21"/>
          <w:highlight w:val="none"/>
          <w:lang w:val="en-US" w:eastAsia="zh-CN"/>
        </w:rPr>
        <w:t>200</w:t>
      </w:r>
      <w:r>
        <w:rPr>
          <w:rFonts w:hint="default" w:ascii="Times New Roman" w:hAnsi="Times New Roman" w:cs="Times New Roman"/>
          <w:kern w:val="2"/>
          <w:sz w:val="21"/>
          <w:szCs w:val="21"/>
          <w:highlight w:val="none"/>
        </w:rPr>
        <w:t>吨/年</w:t>
      </w:r>
      <w:r>
        <w:rPr>
          <w:rFonts w:hint="default" w:ascii="Times New Roman" w:hAnsi="Times New Roman" w:cs="Times New Roman"/>
          <w:kern w:val="2"/>
          <w:sz w:val="21"/>
          <w:szCs w:val="21"/>
          <w:highlight w:val="none"/>
          <w:lang w:val="en-US" w:eastAsia="zh-CN"/>
        </w:rPr>
        <w:t>催化剂</w:t>
      </w:r>
      <w:r>
        <w:rPr>
          <w:rFonts w:hint="default" w:ascii="Times New Roman" w:hAnsi="Times New Roman" w:cs="Times New Roman"/>
          <w:kern w:val="2"/>
          <w:sz w:val="21"/>
          <w:szCs w:val="21"/>
          <w:highlight w:val="none"/>
        </w:rPr>
        <w:t>项目</w:t>
      </w:r>
      <w:r>
        <w:rPr>
          <w:rFonts w:hint="default" w:ascii="Times New Roman" w:hAnsi="Times New Roman" w:eastAsia="宋体" w:cs="Times New Roman"/>
          <w:sz w:val="21"/>
          <w:szCs w:val="21"/>
          <w:highlight w:val="none"/>
          <w:lang w:val="en-US" w:eastAsia="zh-CN"/>
        </w:rPr>
        <w:t>项目拟建于浙江建德经济开发区（高新区块）大洋组团，位于合规化工园区内，该项目符合产业政策，符合园区规划及规划环评、“三线一单”管控要求、“两江一湖”风景区规划等相关规划要求；该项目采取相应措施后，排放的污染物可以做到达标排放，并满足污染物总量控制要求，对周围环境的影响在可承受范围之内，建成后能维持当地环境质量</w:t>
      </w:r>
      <w:r>
        <w:rPr>
          <w:rFonts w:hint="eastAsia" w:ascii="Times New Roman" w:hAnsi="Times New Roman" w:eastAsia="宋体" w:cs="Times New Roman"/>
          <w:sz w:val="21"/>
          <w:szCs w:val="21"/>
          <w:highlight w:val="none"/>
          <w:lang w:val="en-US" w:eastAsia="zh-CN"/>
        </w:rPr>
        <w:t>，环境风险可控</w:t>
      </w:r>
      <w:r>
        <w:rPr>
          <w:rFonts w:hint="default" w:ascii="Times New Roman" w:hAnsi="Times New Roman" w:eastAsia="宋体" w:cs="Times New Roman"/>
          <w:sz w:val="21"/>
          <w:szCs w:val="21"/>
          <w:highlight w:val="none"/>
          <w:lang w:val="en-US" w:eastAsia="zh-CN"/>
        </w:rPr>
        <w:t>。因此本环评认为，在切实落实环评报告提出的各项污染防治措施、严格执行环保“三同时”制度的基</w:t>
      </w:r>
      <w:bookmarkStart w:id="3" w:name="_GoBack"/>
      <w:bookmarkEnd w:id="3"/>
      <w:r>
        <w:rPr>
          <w:rFonts w:hint="default" w:ascii="Times New Roman" w:hAnsi="Times New Roman" w:eastAsia="宋体" w:cs="Times New Roman"/>
          <w:sz w:val="21"/>
          <w:szCs w:val="21"/>
          <w:highlight w:val="none"/>
          <w:lang w:val="en-US" w:eastAsia="zh-CN"/>
        </w:rPr>
        <w:t>础上，该项目在拟选场址实施在环境保护方面可行。</w:t>
      </w:r>
    </w:p>
    <w:p>
      <w:pPr>
        <w:keepNext w:val="0"/>
        <w:keepLines w:val="0"/>
        <w:pageBreakBefore w:val="0"/>
        <w:kinsoku/>
        <w:wordWrap/>
        <w:overflowPunct/>
        <w:topLinePunct w:val="0"/>
        <w:autoSpaceDE/>
        <w:autoSpaceDN/>
        <w:bidi w:val="0"/>
        <w:adjustRightInd/>
        <w:snapToGrid w:val="0"/>
        <w:spacing w:line="350" w:lineRule="exact"/>
        <w:jc w:val="left"/>
        <w:textAlignment w:val="auto"/>
        <w:outlineLvl w:val="0"/>
        <w:rPr>
          <w:rFonts w:ascii="Times New Roman" w:hAnsi="Times New Roman" w:eastAsia="宋体" w:cs="Times New Roman"/>
          <w:b/>
          <w:sz w:val="24"/>
          <w:szCs w:val="28"/>
          <w:highlight w:val="none"/>
        </w:rPr>
      </w:pPr>
      <w:r>
        <w:rPr>
          <w:rFonts w:hint="eastAsia" w:ascii="Times New Roman" w:hAnsi="Times New Roman" w:eastAsia="宋体" w:cs="Times New Roman"/>
          <w:b/>
          <w:sz w:val="24"/>
          <w:szCs w:val="28"/>
        </w:rPr>
        <w:t>六</w:t>
      </w:r>
      <w:r>
        <w:rPr>
          <w:rFonts w:ascii="Times New Roman" w:hAnsi="Times New Roman" w:eastAsia="宋体" w:cs="Times New Roman"/>
          <w:b/>
          <w:sz w:val="24"/>
          <w:szCs w:val="28"/>
        </w:rPr>
        <w:t>、征求公众意见的范围</w:t>
      </w:r>
      <w:r>
        <w:rPr>
          <w:rFonts w:ascii="Times New Roman" w:hAnsi="Times New Roman" w:eastAsia="宋体" w:cs="Times New Roman"/>
          <w:b/>
          <w:sz w:val="24"/>
          <w:szCs w:val="28"/>
          <w:highlight w:val="none"/>
        </w:rPr>
        <w:t>和主要事项</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本项目环评公众参与将征求项目评价范围内的公民、法人或者其他组织的代表等对本项目的意见和建议，征求公众意见的主要内容包括公众关心的主要环境问题、项目建设对周边环境可能产生的影响以及对本项目的环境保护工作的其他意见或建议等。</w:t>
      </w:r>
    </w:p>
    <w:p>
      <w:pPr>
        <w:keepNext w:val="0"/>
        <w:keepLines w:val="0"/>
        <w:pageBreakBefore w:val="0"/>
        <w:widowControl w:val="0"/>
        <w:kinsoku/>
        <w:wordWrap/>
        <w:overflowPunct/>
        <w:topLinePunct w:val="0"/>
        <w:autoSpaceDE/>
        <w:autoSpaceDN/>
        <w:bidi w:val="0"/>
        <w:adjustRightInd/>
        <w:snapToGrid w:val="0"/>
        <w:spacing w:line="350" w:lineRule="exact"/>
        <w:textAlignment w:val="auto"/>
        <w:outlineLvl w:val="0"/>
        <w:rPr>
          <w:rFonts w:hint="default" w:ascii="Times New Roman" w:hAnsi="Times New Roman" w:eastAsia="宋体" w:cs="Times New Roman"/>
          <w:b/>
          <w:sz w:val="24"/>
          <w:szCs w:val="28"/>
          <w:highlight w:val="none"/>
          <w:lang w:val="en-US" w:eastAsia="zh-CN"/>
        </w:rPr>
      </w:pPr>
      <w:r>
        <w:rPr>
          <w:rFonts w:ascii="Times New Roman" w:hAnsi="Times New Roman" w:eastAsia="宋体" w:cs="Times New Roman"/>
          <w:b/>
          <w:sz w:val="24"/>
          <w:szCs w:val="28"/>
          <w:highlight w:val="none"/>
        </w:rPr>
        <w:t>七、</w:t>
      </w:r>
      <w:r>
        <w:rPr>
          <w:rFonts w:hint="default" w:ascii="Times New Roman" w:hAnsi="Times New Roman" w:eastAsia="宋体" w:cs="Times New Roman"/>
          <w:b/>
          <w:sz w:val="24"/>
          <w:szCs w:val="28"/>
          <w:highlight w:val="none"/>
          <w:lang w:val="en-US" w:eastAsia="zh-CN"/>
        </w:rPr>
        <w:t>征求公众意见的具体形式及意见反馈途径</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公示形式：1、在</w:t>
      </w:r>
      <w:r>
        <w:rPr>
          <w:rFonts w:hint="eastAsia" w:ascii="Times New Roman" w:hAnsi="Times New Roman" w:eastAsia="宋体" w:cs="Times New Roman"/>
          <w:sz w:val="21"/>
          <w:szCs w:val="21"/>
          <w:highlight w:val="none"/>
          <w:lang w:val="en-US" w:eastAsia="zh-CN"/>
        </w:rPr>
        <w:t>建设单位（浙江新化化工股份有限公司）</w:t>
      </w:r>
      <w:r>
        <w:rPr>
          <w:rFonts w:hint="default" w:ascii="Times New Roman" w:hAnsi="Times New Roman" w:eastAsia="宋体" w:cs="Times New Roman"/>
          <w:sz w:val="21"/>
          <w:szCs w:val="21"/>
          <w:highlight w:val="none"/>
          <w:lang w:val="en-US" w:eastAsia="zh-CN"/>
        </w:rPr>
        <w:t>网</w:t>
      </w:r>
      <w:r>
        <w:rPr>
          <w:rFonts w:hint="eastAsia" w:ascii="Times New Roman" w:hAnsi="Times New Roman" w:eastAsia="宋体" w:cs="Times New Roman"/>
          <w:sz w:val="21"/>
          <w:szCs w:val="21"/>
          <w:highlight w:val="none"/>
          <w:lang w:val="en-US" w:eastAsia="zh-CN"/>
        </w:rPr>
        <w:t>站（</w:t>
      </w:r>
      <w:r>
        <w:rPr>
          <w:rFonts w:hint="default" w:ascii="Times New Roman" w:hAnsi="Times New Roman" w:eastAsia="宋体" w:cs="Times New Roman"/>
          <w:b w:val="0"/>
          <w:bCs w:val="0"/>
          <w:color w:val="auto"/>
          <w:sz w:val="20"/>
          <w:szCs w:val="20"/>
          <w:highlight w:val="none"/>
          <w:u w:val="none"/>
          <w:lang w:val="en-US" w:eastAsia="zh-CN"/>
        </w:rPr>
        <w:t>www.</w:t>
      </w:r>
      <w:r>
        <w:rPr>
          <w:rFonts w:hint="default" w:ascii="Times New Roman" w:hAnsi="Times New Roman" w:eastAsia="宋体" w:cs="Times New Roman"/>
          <w:b w:val="0"/>
          <w:bCs w:val="0"/>
          <w:color w:val="auto"/>
          <w:sz w:val="20"/>
          <w:szCs w:val="20"/>
          <w:highlight w:val="none"/>
          <w:u w:val="none"/>
        </w:rPr>
        <w:fldChar w:fldCharType="begin"/>
      </w:r>
      <w:r>
        <w:rPr>
          <w:rFonts w:hint="default" w:ascii="Times New Roman" w:hAnsi="Times New Roman" w:eastAsia="宋体" w:cs="Times New Roman"/>
          <w:b w:val="0"/>
          <w:bCs w:val="0"/>
          <w:color w:val="auto"/>
          <w:sz w:val="20"/>
          <w:szCs w:val="20"/>
          <w:highlight w:val="none"/>
          <w:u w:val="none"/>
        </w:rPr>
        <w:instrText xml:space="preserve"> HYPERLINK "http://www.xhchem.com/" </w:instrText>
      </w:r>
      <w:r>
        <w:rPr>
          <w:rFonts w:hint="default" w:ascii="Times New Roman" w:hAnsi="Times New Roman" w:eastAsia="宋体" w:cs="Times New Roman"/>
          <w:b w:val="0"/>
          <w:bCs w:val="0"/>
          <w:color w:val="auto"/>
          <w:sz w:val="20"/>
          <w:szCs w:val="20"/>
          <w:highlight w:val="none"/>
          <w:u w:val="none"/>
        </w:rPr>
        <w:fldChar w:fldCharType="separate"/>
      </w:r>
      <w:r>
        <w:rPr>
          <w:rStyle w:val="11"/>
          <w:rFonts w:hint="default" w:ascii="Times New Roman" w:hAnsi="Times New Roman" w:eastAsia="宋体" w:cs="Times New Roman"/>
          <w:b w:val="0"/>
          <w:bCs w:val="0"/>
          <w:color w:val="auto"/>
          <w:sz w:val="20"/>
          <w:szCs w:val="20"/>
          <w:highlight w:val="none"/>
          <w:u w:val="none"/>
        </w:rPr>
        <w:t>xhchem.com</w:t>
      </w:r>
      <w:r>
        <w:rPr>
          <w:rFonts w:hint="default" w:ascii="Times New Roman" w:hAnsi="Times New Roman" w:eastAsia="宋体" w:cs="Times New Roman"/>
          <w:b w:val="0"/>
          <w:bCs w:val="0"/>
          <w:color w:val="auto"/>
          <w:sz w:val="20"/>
          <w:szCs w:val="20"/>
          <w:highlight w:val="none"/>
          <w:u w:val="none"/>
        </w:rPr>
        <w:fldChar w:fldCharType="end"/>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进行公示；2、在建设项目环境影响评价区域范围内的</w:t>
      </w:r>
      <w:r>
        <w:rPr>
          <w:rFonts w:hint="eastAsia" w:ascii="Times New Roman" w:hAnsi="Times New Roman" w:eastAsia="宋体" w:cs="Times New Roman"/>
          <w:sz w:val="21"/>
          <w:szCs w:val="21"/>
          <w:highlight w:val="none"/>
          <w:lang w:val="en-US" w:eastAsia="zh-CN"/>
        </w:rPr>
        <w:t>敏感点</w:t>
      </w:r>
      <w:r>
        <w:rPr>
          <w:rFonts w:hint="default" w:ascii="Times New Roman" w:hAnsi="Times New Roman" w:eastAsia="宋体" w:cs="Times New Roman"/>
          <w:sz w:val="21"/>
          <w:szCs w:val="21"/>
          <w:highlight w:val="none"/>
          <w:lang w:val="en-US" w:eastAsia="zh-CN"/>
        </w:rPr>
        <w:t>信息公告栏进行公示。</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在征求公众意见有效期限内，</w:t>
      </w:r>
      <w:r>
        <w:rPr>
          <w:rFonts w:hint="default" w:ascii="Times New Roman" w:hAnsi="Times New Roman" w:eastAsia="宋体" w:cs="Times New Roman"/>
          <w:sz w:val="21"/>
          <w:szCs w:val="21"/>
          <w:highlight w:val="none"/>
          <w:lang w:val="en-US" w:eastAsia="zh-CN"/>
        </w:rPr>
        <w:t>公众可通过发送信函、拨打电话等方式向建设单位、环评单位、管理部门</w:t>
      </w:r>
      <w:r>
        <w:rPr>
          <w:rFonts w:hint="eastAsia" w:ascii="Times New Roman" w:hAnsi="Times New Roman" w:eastAsia="宋体" w:cs="Times New Roman"/>
          <w:sz w:val="21"/>
          <w:szCs w:val="21"/>
          <w:highlight w:val="none"/>
          <w:lang w:val="en-US" w:eastAsia="zh-CN"/>
        </w:rPr>
        <w:t>发表对该项目建设及环评工作的意见看法</w:t>
      </w:r>
      <w:r>
        <w:rPr>
          <w:rFonts w:hint="default" w:ascii="Times New Roman" w:hAnsi="Times New Roman" w:eastAsia="宋体" w:cs="Times New Roman"/>
          <w:sz w:val="21"/>
          <w:szCs w:val="21"/>
          <w:highlight w:val="none"/>
          <w:lang w:val="en-US" w:eastAsia="zh-CN"/>
        </w:rPr>
        <w:t>，并留下真实的姓名、联系方式、联系地址</w:t>
      </w:r>
      <w:r>
        <w:rPr>
          <w:rFonts w:hint="eastAsia" w:ascii="Times New Roman" w:hAnsi="Times New Roman" w:eastAsia="宋体" w:cs="Times New Roman"/>
          <w:sz w:val="21"/>
          <w:szCs w:val="21"/>
          <w:highlight w:val="none"/>
          <w:lang w:val="en-US" w:eastAsia="zh-CN"/>
        </w:rPr>
        <w:t>等</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建设单位将在项目《环境影响评价公众参与说明》中真实记录公众的意见和建议及采纳情况。</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公众意见征求期限：</w:t>
      </w:r>
      <w:r>
        <w:rPr>
          <w:rFonts w:hint="eastAsia" w:ascii="Times New Roman" w:hAnsi="Times New Roman" w:eastAsia="宋体" w:cs="Times New Roman"/>
          <w:sz w:val="21"/>
          <w:szCs w:val="21"/>
          <w:highlight w:val="none"/>
          <w:lang w:val="en-US" w:eastAsia="zh-CN"/>
        </w:rPr>
        <w:t>202</w:t>
      </w:r>
      <w:r>
        <w:rPr>
          <w:rFonts w:hint="eastAsia"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年</w:t>
      </w:r>
      <w:r>
        <w:rPr>
          <w:rFonts w:hint="eastAsia" w:ascii="Times New Roman" w:hAnsi="Times New Roman" w:cs="Times New Roman"/>
          <w:sz w:val="21"/>
          <w:szCs w:val="21"/>
          <w:highlight w:val="none"/>
          <w:lang w:val="en-US" w:eastAsia="zh-CN"/>
        </w:rPr>
        <w:t>11</w:t>
      </w:r>
      <w:r>
        <w:rPr>
          <w:rFonts w:hint="default" w:ascii="Times New Roman" w:hAnsi="Times New Roman" w:eastAsia="宋体" w:cs="Times New Roman"/>
          <w:sz w:val="21"/>
          <w:szCs w:val="21"/>
          <w:highlight w:val="none"/>
          <w:lang w:val="en-US" w:eastAsia="zh-CN"/>
        </w:rPr>
        <w:t>月</w:t>
      </w:r>
      <w:r>
        <w:rPr>
          <w:rFonts w:hint="eastAsia" w:ascii="Times New Roman" w:hAnsi="Times New Roman"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日~</w:t>
      </w:r>
      <w:r>
        <w:rPr>
          <w:rFonts w:hint="eastAsia" w:ascii="Times New Roman" w:hAnsi="Times New Roman" w:eastAsia="宋体" w:cs="Times New Roman"/>
          <w:sz w:val="21"/>
          <w:szCs w:val="21"/>
          <w:highlight w:val="none"/>
          <w:lang w:val="en-US" w:eastAsia="zh-CN"/>
        </w:rPr>
        <w:t>202</w:t>
      </w:r>
      <w:r>
        <w:rPr>
          <w:rFonts w:hint="eastAsia" w:ascii="Times New Roman" w:hAnsi="Times New Roman"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年</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月</w:t>
      </w:r>
      <w:r>
        <w:rPr>
          <w:rFonts w:hint="eastAsia" w:ascii="Times New Roman" w:hAnsi="Times New Roman" w:cs="Times New Roman"/>
          <w:sz w:val="21"/>
          <w:szCs w:val="21"/>
          <w:highlight w:val="none"/>
          <w:lang w:val="en-US" w:eastAsia="zh-CN"/>
        </w:rPr>
        <w:t>21</w:t>
      </w:r>
      <w:r>
        <w:rPr>
          <w:rFonts w:hint="default" w:ascii="Times New Roman" w:hAnsi="Times New Roman" w:eastAsia="宋体" w:cs="Times New Roman"/>
          <w:sz w:val="21"/>
          <w:szCs w:val="21"/>
          <w:highlight w:val="none"/>
          <w:lang w:val="en-US" w:eastAsia="zh-CN"/>
        </w:rPr>
        <w:t>日</w:t>
      </w:r>
    </w:p>
    <w:p>
      <w:pPr>
        <w:keepNext w:val="0"/>
        <w:keepLines w:val="0"/>
        <w:pageBreakBefore w:val="0"/>
        <w:widowControl w:val="0"/>
        <w:kinsoku/>
        <w:wordWrap/>
        <w:overflowPunct/>
        <w:topLinePunct w:val="0"/>
        <w:autoSpaceDE/>
        <w:autoSpaceDN/>
        <w:bidi w:val="0"/>
        <w:adjustRightInd/>
        <w:snapToGrid w:val="0"/>
        <w:spacing w:line="350" w:lineRule="exact"/>
        <w:jc w:val="left"/>
        <w:textAlignment w:val="auto"/>
        <w:outlineLvl w:val="0"/>
        <w:rPr>
          <w:rFonts w:ascii="Times New Roman" w:hAnsi="Times New Roman" w:eastAsia="宋体" w:cs="Times New Roman"/>
          <w:b/>
          <w:sz w:val="24"/>
          <w:szCs w:val="28"/>
          <w:highlight w:val="none"/>
        </w:rPr>
      </w:pPr>
      <w:r>
        <w:rPr>
          <w:rFonts w:hint="eastAsia" w:ascii="Times New Roman" w:hAnsi="Times New Roman" w:eastAsia="宋体" w:cs="Times New Roman"/>
          <w:b/>
          <w:sz w:val="24"/>
          <w:szCs w:val="28"/>
          <w:highlight w:val="none"/>
          <w:lang w:val="en-US" w:eastAsia="zh-CN"/>
        </w:rPr>
        <w:t>八</w:t>
      </w:r>
      <w:r>
        <w:rPr>
          <w:rFonts w:ascii="Times New Roman" w:hAnsi="Times New Roman" w:eastAsia="宋体" w:cs="Times New Roman"/>
          <w:b/>
          <w:sz w:val="24"/>
          <w:szCs w:val="28"/>
          <w:highlight w:val="none"/>
        </w:rPr>
        <w:t>、联系方式</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（1）建设单位</w:t>
      </w:r>
    </w:p>
    <w:p>
      <w:pPr>
        <w:keepNext w:val="0"/>
        <w:keepLines w:val="0"/>
        <w:pageBreakBefore w:val="0"/>
        <w:kinsoku/>
        <w:wordWrap/>
        <w:overflowPunct/>
        <w:topLinePunct w:val="0"/>
        <w:autoSpaceDE/>
        <w:autoSpaceDN/>
        <w:bidi w:val="0"/>
        <w:adjustRightInd/>
        <w:snapToGrid w:val="0"/>
        <w:spacing w:line="350" w:lineRule="exact"/>
        <w:ind w:firstLine="420" w:firstLineChars="200"/>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rPr>
        <w:t>单位名称</w:t>
      </w:r>
      <w:r>
        <w:rPr>
          <w:rFonts w:ascii="Times New Roman" w:hAnsi="Times New Roman" w:cs="Times New Roman"/>
          <w:szCs w:val="21"/>
          <w:highlight w:val="none"/>
        </w:rPr>
        <w:t>：</w:t>
      </w:r>
      <w:r>
        <w:rPr>
          <w:rFonts w:hint="eastAsia" w:ascii="Times New Roman" w:hAnsi="Times New Roman" w:eastAsia="宋体" w:cs="Times New Roman"/>
          <w:szCs w:val="21"/>
          <w:highlight w:val="none"/>
          <w:lang w:val="en-US" w:eastAsia="zh-CN"/>
        </w:rPr>
        <w:t>浙江新化化工股份有限公司</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kern w:val="2"/>
          <w:sz w:val="21"/>
          <w:szCs w:val="21"/>
          <w:highlight w:val="none"/>
          <w:lang w:val="en-US" w:eastAsia="zh-CN"/>
        </w:rPr>
      </w:pPr>
      <w:r>
        <w:rPr>
          <w:rFonts w:ascii="Times New Roman" w:hAnsi="Times New Roman" w:cs="Times New Roman"/>
          <w:sz w:val="21"/>
          <w:szCs w:val="21"/>
          <w:highlight w:val="none"/>
        </w:rPr>
        <w:t>单位地址：</w:t>
      </w:r>
      <w:r>
        <w:rPr>
          <w:rFonts w:hint="eastAsia" w:ascii="Times New Roman" w:hAnsi="Times New Roman" w:cs="Times New Roman"/>
          <w:kern w:val="2"/>
          <w:sz w:val="21"/>
          <w:szCs w:val="21"/>
          <w:highlight w:val="none"/>
          <w:lang w:val="en-US" w:eastAsia="zh-CN"/>
        </w:rPr>
        <w:t>浙江省杭州市建德</w:t>
      </w:r>
      <w:r>
        <w:rPr>
          <w:rFonts w:hint="eastAsia" w:ascii="Times New Roman" w:hAnsi="Times New Roman" w:eastAsia="宋体" w:cs="Times New Roman"/>
          <w:kern w:val="2"/>
          <w:sz w:val="21"/>
          <w:szCs w:val="21"/>
          <w:highlight w:val="none"/>
          <w:lang w:val="en-US" w:eastAsia="zh-CN"/>
        </w:rPr>
        <w:t>经济开发区（高新区块）大洋组团</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eastAsia="宋体" w:cs="Times New Roman"/>
          <w:sz w:val="21"/>
          <w:szCs w:val="21"/>
          <w:highlight w:val="none"/>
          <w:lang w:val="en-US" w:eastAsia="zh-CN"/>
        </w:rPr>
      </w:pPr>
      <w:r>
        <w:rPr>
          <w:rFonts w:ascii="Times New Roman" w:hAnsi="Times New Roman" w:cs="Times New Roman"/>
          <w:sz w:val="21"/>
          <w:szCs w:val="21"/>
          <w:highlight w:val="none"/>
        </w:rPr>
        <w:t>联系人：</w:t>
      </w:r>
      <w:r>
        <w:rPr>
          <w:rFonts w:hint="eastAsia" w:ascii="Times New Roman" w:hAnsi="Times New Roman" w:cs="Times New Roman"/>
          <w:sz w:val="21"/>
          <w:szCs w:val="21"/>
          <w:highlight w:val="none"/>
          <w:lang w:val="en-US" w:eastAsia="zh-CN"/>
        </w:rPr>
        <w:t>朱工</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 xml:space="preserve">            联系电话：</w:t>
      </w:r>
      <w:r>
        <w:rPr>
          <w:rFonts w:hint="eastAsia" w:ascii="Times New Roman" w:hAnsi="Times New Roman" w:cs="Times New Roman"/>
          <w:sz w:val="21"/>
          <w:szCs w:val="21"/>
          <w:highlight w:val="none"/>
          <w:lang w:val="en-US" w:eastAsia="zh-CN"/>
        </w:rPr>
        <w:t>0571-64756055</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（2）</w:t>
      </w:r>
      <w:r>
        <w:rPr>
          <w:rFonts w:hint="eastAsia" w:ascii="Times New Roman" w:hAnsi="Times New Roman" w:cs="Times New Roman"/>
          <w:sz w:val="21"/>
          <w:szCs w:val="21"/>
          <w:highlight w:val="none"/>
        </w:rPr>
        <w:t>环评单位</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hint="eastAsia" w:ascii="Times New Roman" w:hAnsi="Times New Roman" w:cs="Times New Roman"/>
          <w:sz w:val="21"/>
          <w:szCs w:val="21"/>
          <w:highlight w:val="none"/>
        </w:rPr>
        <w:t>单位名称</w:t>
      </w:r>
      <w:r>
        <w:rPr>
          <w:rFonts w:ascii="Times New Roman" w:hAnsi="Times New Roman" w:cs="Times New Roman"/>
          <w:sz w:val="21"/>
          <w:szCs w:val="21"/>
          <w:highlight w:val="none"/>
        </w:rPr>
        <w:t>：浙江省环境科技有限公司</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单位地址：杭州市</w:t>
      </w:r>
      <w:r>
        <w:rPr>
          <w:rFonts w:hint="eastAsia" w:ascii="Times New Roman" w:hAnsi="Times New Roman" w:cs="Times New Roman"/>
          <w:sz w:val="21"/>
          <w:szCs w:val="21"/>
          <w:highlight w:val="none"/>
          <w:lang w:val="en-US" w:eastAsia="zh-CN"/>
        </w:rPr>
        <w:t>西湖区浙谷深蓝中心6号</w:t>
      </w:r>
      <w:r>
        <w:rPr>
          <w:rFonts w:ascii="Times New Roman" w:hAnsi="Times New Roman" w:cs="Times New Roman"/>
          <w:sz w:val="21"/>
          <w:szCs w:val="21"/>
          <w:highlight w:val="none"/>
        </w:rPr>
        <w:t>楼</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cs="Times New Roman"/>
          <w:sz w:val="21"/>
          <w:szCs w:val="21"/>
          <w:highlight w:val="none"/>
          <w:lang w:val="en-US" w:eastAsia="zh-CN"/>
        </w:rPr>
      </w:pPr>
      <w:r>
        <w:rPr>
          <w:rFonts w:ascii="Times New Roman" w:hAnsi="Times New Roman" w:cs="Times New Roman"/>
          <w:sz w:val="21"/>
          <w:szCs w:val="21"/>
          <w:highlight w:val="none"/>
        </w:rPr>
        <w:t>联系人：</w:t>
      </w:r>
      <w:r>
        <w:rPr>
          <w:rFonts w:hint="eastAsia" w:ascii="Times New Roman" w:hAnsi="Times New Roman" w:cs="Times New Roman"/>
          <w:sz w:val="21"/>
          <w:szCs w:val="21"/>
          <w:highlight w:val="none"/>
          <w:lang w:val="en-US" w:eastAsia="zh-CN"/>
        </w:rPr>
        <w:t>林</w:t>
      </w:r>
      <w:r>
        <w:rPr>
          <w:rFonts w:ascii="Times New Roman" w:hAnsi="Times New Roman" w:cs="Times New Roman"/>
          <w:sz w:val="21"/>
          <w:szCs w:val="21"/>
          <w:highlight w:val="none"/>
        </w:rPr>
        <w:t>工</w:t>
      </w:r>
      <w:r>
        <w:rPr>
          <w:rFonts w:hint="eastAsia" w:ascii="Times New Roman" w:hAnsi="Times New Roman" w:cs="Times New Roman"/>
          <w:sz w:val="21"/>
          <w:szCs w:val="21"/>
          <w:highlight w:val="none"/>
        </w:rPr>
        <w:t xml:space="preserve"> </w:t>
      </w:r>
      <w:r>
        <w:rPr>
          <w:rFonts w:ascii="Times New Roman" w:hAnsi="Times New Roman" w:cs="Times New Roman"/>
          <w:sz w:val="21"/>
          <w:szCs w:val="21"/>
          <w:highlight w:val="none"/>
        </w:rPr>
        <w:t xml:space="preserve">            联系电话：0571-</w:t>
      </w:r>
      <w:r>
        <w:rPr>
          <w:rFonts w:hint="eastAsia" w:ascii="Times New Roman" w:hAnsi="Times New Roman" w:cs="Times New Roman"/>
          <w:sz w:val="21"/>
          <w:szCs w:val="21"/>
          <w:highlight w:val="none"/>
          <w:lang w:val="en-US" w:eastAsia="zh-CN"/>
        </w:rPr>
        <w:t>88777901</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ascii="Times New Roman" w:hAnsi="Times New Roman" w:cs="Times New Roman"/>
          <w:sz w:val="21"/>
          <w:szCs w:val="21"/>
          <w:highlight w:val="none"/>
        </w:rPr>
        <w:t>（3）环保部门</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ascii="Times New Roman" w:hAnsi="Times New Roman" w:cs="Times New Roman"/>
          <w:sz w:val="21"/>
          <w:szCs w:val="21"/>
          <w:highlight w:val="none"/>
        </w:rPr>
      </w:pPr>
      <w:r>
        <w:rPr>
          <w:rFonts w:hint="eastAsia" w:ascii="Times New Roman" w:hAnsi="Times New Roman" w:cs="Times New Roman"/>
          <w:sz w:val="21"/>
          <w:szCs w:val="21"/>
          <w:highlight w:val="none"/>
        </w:rPr>
        <w:t>单位名称</w:t>
      </w:r>
      <w:r>
        <w:rPr>
          <w:rFonts w:ascii="Times New Roman" w:hAnsi="Times New Roman" w:cs="Times New Roman"/>
          <w:sz w:val="21"/>
          <w:szCs w:val="21"/>
          <w:highlight w:val="none"/>
        </w:rPr>
        <w:t>：</w:t>
      </w:r>
      <w:r>
        <w:rPr>
          <w:rFonts w:hint="eastAsia" w:ascii="Times New Roman" w:hAnsi="Times New Roman" w:cs="Times New Roman"/>
          <w:sz w:val="21"/>
          <w:szCs w:val="21"/>
          <w:highlight w:val="none"/>
        </w:rPr>
        <w:t>杭州市生态环境局</w:t>
      </w:r>
      <w:r>
        <w:rPr>
          <w:rFonts w:hint="eastAsia" w:ascii="Times New Roman" w:hAnsi="Times New Roman" w:cs="Times New Roman"/>
          <w:sz w:val="21"/>
          <w:szCs w:val="21"/>
          <w:highlight w:val="none"/>
          <w:lang w:val="en-US" w:eastAsia="zh-CN"/>
        </w:rPr>
        <w:t>建德</w:t>
      </w:r>
      <w:r>
        <w:rPr>
          <w:rFonts w:hint="eastAsia" w:ascii="Times New Roman" w:hAnsi="Times New Roman" w:cs="Times New Roman"/>
          <w:sz w:val="21"/>
          <w:szCs w:val="21"/>
          <w:highlight w:val="none"/>
        </w:rPr>
        <w:t>分局</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default" w:ascii="Times New Roman" w:hAnsi="Times New Roman" w:cs="Times New Roman"/>
          <w:sz w:val="21"/>
          <w:szCs w:val="21"/>
          <w:highlight w:val="none"/>
          <w:lang w:val="en-US" w:eastAsia="zh-CN"/>
        </w:rPr>
      </w:pPr>
      <w:r>
        <w:rPr>
          <w:rFonts w:ascii="Times New Roman" w:hAnsi="Times New Roman" w:cs="Times New Roman"/>
          <w:sz w:val="21"/>
          <w:szCs w:val="21"/>
          <w:highlight w:val="none"/>
        </w:rPr>
        <w:t>单位地址：</w:t>
      </w:r>
      <w:r>
        <w:rPr>
          <w:rFonts w:hint="eastAsia" w:ascii="Times New Roman" w:hAnsi="Times New Roman" w:cs="Times New Roman"/>
          <w:sz w:val="21"/>
          <w:szCs w:val="21"/>
          <w:highlight w:val="none"/>
          <w:lang w:val="en-US" w:eastAsia="zh-CN"/>
        </w:rPr>
        <w:t>杭州市建德市新安东路581号</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eastAsia" w:ascii="Times New Roman" w:hAnsi="Times New Roman" w:cs="Times New Roman"/>
          <w:sz w:val="21"/>
          <w:szCs w:val="21"/>
          <w:highlight w:val="none"/>
          <w:lang w:val="en-US" w:eastAsia="zh-CN"/>
        </w:rPr>
      </w:pPr>
      <w:r>
        <w:rPr>
          <w:rFonts w:ascii="Times New Roman" w:hAnsi="Times New Roman" w:cs="Times New Roman"/>
          <w:sz w:val="21"/>
          <w:szCs w:val="21"/>
          <w:highlight w:val="none"/>
        </w:rPr>
        <w:t>联系电话：</w:t>
      </w:r>
      <w:r>
        <w:rPr>
          <w:rFonts w:hint="eastAsia" w:ascii="Times New Roman" w:hAnsi="Times New Roman" w:cs="Times New Roman"/>
          <w:sz w:val="21"/>
          <w:szCs w:val="21"/>
          <w:highlight w:val="none"/>
          <w:lang w:val="en-US" w:eastAsia="zh-CN"/>
        </w:rPr>
        <w:t>0571-64722651</w:t>
      </w:r>
    </w:p>
    <w:p>
      <w:pPr>
        <w:keepNext w:val="0"/>
        <w:keepLines w:val="0"/>
        <w:pageBreakBefore w:val="0"/>
        <w:kinsoku/>
        <w:wordWrap/>
        <w:overflowPunct/>
        <w:topLinePunct w:val="0"/>
        <w:autoSpaceDE/>
        <w:autoSpaceDN/>
        <w:bidi w:val="0"/>
        <w:adjustRightInd/>
        <w:snapToGrid w:val="0"/>
        <w:spacing w:line="350" w:lineRule="exact"/>
        <w:jc w:val="left"/>
        <w:textAlignment w:val="auto"/>
        <w:outlineLvl w:val="0"/>
        <w:rPr>
          <w:rFonts w:ascii="Times New Roman" w:hAnsi="Times New Roman" w:eastAsia="宋体" w:cs="Times New Roman"/>
          <w:b/>
          <w:sz w:val="24"/>
          <w:szCs w:val="28"/>
          <w:highlight w:val="none"/>
        </w:rPr>
      </w:pPr>
      <w:r>
        <w:rPr>
          <w:rFonts w:hint="eastAsia" w:ascii="Times New Roman" w:hAnsi="Times New Roman" w:eastAsia="宋体" w:cs="Times New Roman"/>
          <w:b/>
          <w:sz w:val="24"/>
          <w:szCs w:val="28"/>
          <w:highlight w:val="none"/>
        </w:rPr>
        <w:t>九</w:t>
      </w:r>
      <w:r>
        <w:rPr>
          <w:rFonts w:ascii="Times New Roman" w:hAnsi="Times New Roman" w:eastAsia="宋体" w:cs="Times New Roman"/>
          <w:b/>
          <w:sz w:val="24"/>
          <w:szCs w:val="28"/>
          <w:highlight w:val="none"/>
        </w:rPr>
        <w:t>、</w:t>
      </w:r>
      <w:r>
        <w:rPr>
          <w:rFonts w:hint="eastAsia" w:ascii="Times New Roman" w:hAnsi="Times New Roman" w:eastAsia="宋体" w:cs="Times New Roman"/>
          <w:b/>
          <w:sz w:val="24"/>
          <w:szCs w:val="28"/>
          <w:highlight w:val="none"/>
          <w:lang w:val="en-US" w:eastAsia="zh-CN"/>
        </w:rPr>
        <w:t>环境影响</w:t>
      </w:r>
      <w:r>
        <w:rPr>
          <w:rFonts w:ascii="Times New Roman" w:hAnsi="Times New Roman" w:eastAsia="宋体" w:cs="Times New Roman"/>
          <w:b/>
          <w:sz w:val="24"/>
          <w:szCs w:val="28"/>
          <w:highlight w:val="none"/>
        </w:rPr>
        <w:t>报告书公开方式及时间</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50" w:lineRule="exact"/>
        <w:ind w:firstLine="464" w:firstLineChars="221"/>
        <w:jc w:val="both"/>
        <w:textAlignment w:val="auto"/>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本项目环境影响报告书在正式报送</w:t>
      </w:r>
      <w:r>
        <w:rPr>
          <w:rFonts w:hint="eastAsia" w:ascii="Times New Roman" w:hAnsi="Times New Roman" w:eastAsia="宋体" w:cs="Times New Roman"/>
          <w:sz w:val="21"/>
          <w:szCs w:val="21"/>
          <w:highlight w:val="none"/>
          <w:lang w:val="en-US" w:eastAsia="zh-CN"/>
        </w:rPr>
        <w:t>生态环境主管</w:t>
      </w:r>
      <w:r>
        <w:rPr>
          <w:rFonts w:hint="eastAsia" w:ascii="Times New Roman" w:hAnsi="Times New Roman" w:eastAsia="宋体" w:cs="Times New Roman"/>
          <w:sz w:val="21"/>
          <w:szCs w:val="21"/>
          <w:highlight w:val="none"/>
        </w:rPr>
        <w:t>部门审批前进行全本公示。公示期间公众可登录</w:t>
      </w:r>
      <w:r>
        <w:rPr>
          <w:rFonts w:hint="eastAsia" w:ascii="Times New Roman" w:hAnsi="Times New Roman" w:eastAsia="宋体" w:cs="Times New Roman"/>
          <w:sz w:val="21"/>
          <w:szCs w:val="21"/>
          <w:highlight w:val="none"/>
          <w:lang w:val="en-US" w:eastAsia="zh-CN"/>
        </w:rPr>
        <w:t>浙江新化化工股份有限公司</w:t>
      </w:r>
      <w:r>
        <w:rPr>
          <w:rFonts w:hint="eastAsia" w:ascii="Times New Roman" w:hAnsi="Times New Roman" w:eastAsia="宋体" w:cs="Times New Roman"/>
          <w:sz w:val="21"/>
          <w:szCs w:val="21"/>
          <w:highlight w:val="none"/>
        </w:rPr>
        <w:t>网站（</w:t>
      </w:r>
      <w:r>
        <w:rPr>
          <w:rFonts w:hint="default" w:ascii="Times New Roman" w:hAnsi="Times New Roman" w:eastAsia="宋体" w:cs="Times New Roman"/>
          <w:b w:val="0"/>
          <w:bCs w:val="0"/>
          <w:color w:val="auto"/>
          <w:sz w:val="20"/>
          <w:szCs w:val="20"/>
          <w:highlight w:val="none"/>
          <w:u w:val="none"/>
          <w:lang w:val="en-US" w:eastAsia="zh-CN"/>
        </w:rPr>
        <w:t>www.</w:t>
      </w:r>
      <w:r>
        <w:rPr>
          <w:rFonts w:hint="default" w:ascii="Times New Roman" w:hAnsi="Times New Roman" w:eastAsia="宋体" w:cs="Times New Roman"/>
          <w:b w:val="0"/>
          <w:bCs w:val="0"/>
          <w:color w:val="auto"/>
          <w:sz w:val="20"/>
          <w:szCs w:val="20"/>
          <w:highlight w:val="none"/>
          <w:u w:val="none"/>
        </w:rPr>
        <w:fldChar w:fldCharType="begin"/>
      </w:r>
      <w:r>
        <w:rPr>
          <w:rFonts w:hint="default" w:ascii="Times New Roman" w:hAnsi="Times New Roman" w:eastAsia="宋体" w:cs="Times New Roman"/>
          <w:b w:val="0"/>
          <w:bCs w:val="0"/>
          <w:color w:val="auto"/>
          <w:sz w:val="20"/>
          <w:szCs w:val="20"/>
          <w:highlight w:val="none"/>
          <w:u w:val="none"/>
        </w:rPr>
        <w:instrText xml:space="preserve"> HYPERLINK "http://www.xhchem.com/" </w:instrText>
      </w:r>
      <w:r>
        <w:rPr>
          <w:rFonts w:hint="default" w:ascii="Times New Roman" w:hAnsi="Times New Roman" w:eastAsia="宋体" w:cs="Times New Roman"/>
          <w:b w:val="0"/>
          <w:bCs w:val="0"/>
          <w:color w:val="auto"/>
          <w:sz w:val="20"/>
          <w:szCs w:val="20"/>
          <w:highlight w:val="none"/>
          <w:u w:val="none"/>
        </w:rPr>
        <w:fldChar w:fldCharType="separate"/>
      </w:r>
      <w:r>
        <w:rPr>
          <w:rStyle w:val="11"/>
          <w:rFonts w:hint="default" w:ascii="Times New Roman" w:hAnsi="Times New Roman" w:eastAsia="宋体" w:cs="Times New Roman"/>
          <w:b w:val="0"/>
          <w:bCs w:val="0"/>
          <w:color w:val="auto"/>
          <w:sz w:val="20"/>
          <w:szCs w:val="20"/>
          <w:highlight w:val="none"/>
          <w:u w:val="none"/>
        </w:rPr>
        <w:t>xhchem.com</w:t>
      </w:r>
      <w:r>
        <w:rPr>
          <w:rFonts w:hint="default" w:ascii="Times New Roman" w:hAnsi="Times New Roman" w:eastAsia="宋体" w:cs="Times New Roman"/>
          <w:b w:val="0"/>
          <w:bCs w:val="0"/>
          <w:color w:val="auto"/>
          <w:sz w:val="20"/>
          <w:szCs w:val="20"/>
          <w:highlight w:val="none"/>
          <w:u w:val="none"/>
        </w:rPr>
        <w:fldChar w:fldCharType="end"/>
      </w:r>
      <w:r>
        <w:rPr>
          <w:rFonts w:hint="eastAsia" w:ascii="Times New Roman" w:hAnsi="Times New Roman" w:eastAsia="宋体" w:cs="Times New Roman"/>
          <w:sz w:val="21"/>
          <w:szCs w:val="21"/>
          <w:highlight w:val="none"/>
        </w:rPr>
        <w:t>）查询。</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340" w:lineRule="exact"/>
        <w:ind w:firstLine="464" w:firstLineChars="221"/>
        <w:jc w:val="both"/>
        <w:textAlignment w:val="auto"/>
        <w:rPr>
          <w:rFonts w:hint="eastAsia" w:ascii="Times New Roman" w:hAnsi="Times New Roman" w:eastAsia="宋体" w:cs="Times New Roman"/>
          <w:sz w:val="21"/>
          <w:szCs w:val="21"/>
          <w:highlight w:val="none"/>
        </w:rPr>
      </w:pPr>
    </w:p>
    <w:p>
      <w:pPr>
        <w:pStyle w:val="14"/>
        <w:keepNext w:val="0"/>
        <w:keepLines w:val="0"/>
        <w:pageBreakBefore w:val="0"/>
        <w:kinsoku/>
        <w:wordWrap/>
        <w:overflowPunct/>
        <w:topLinePunct w:val="0"/>
        <w:autoSpaceDE/>
        <w:autoSpaceDN/>
        <w:bidi w:val="0"/>
        <w:adjustRightInd/>
        <w:spacing w:before="0" w:line="340" w:lineRule="exact"/>
        <w:ind w:right="28" w:firstLine="0"/>
        <w:jc w:val="right"/>
        <w:textAlignment w:val="auto"/>
        <w:rPr>
          <w:rFonts w:hint="default" w:eastAsia="宋体"/>
          <w:b/>
          <w:sz w:val="21"/>
          <w:highlight w:val="none"/>
          <w:lang w:val="en-US" w:eastAsia="zh-CN"/>
        </w:rPr>
      </w:pPr>
      <w:r>
        <w:rPr>
          <w:b/>
          <w:sz w:val="21"/>
          <w:highlight w:val="none"/>
        </w:rPr>
        <w:t>公告发布单位：</w:t>
      </w:r>
      <w:r>
        <w:rPr>
          <w:rFonts w:hint="eastAsia"/>
          <w:b/>
          <w:sz w:val="21"/>
          <w:highlight w:val="none"/>
          <w:lang w:val="en-US" w:eastAsia="zh-CN"/>
        </w:rPr>
        <w:t>浙江新化化工股份有限公司</w:t>
      </w:r>
    </w:p>
    <w:p>
      <w:pPr>
        <w:pStyle w:val="14"/>
        <w:keepNext w:val="0"/>
        <w:keepLines w:val="0"/>
        <w:pageBreakBefore w:val="0"/>
        <w:kinsoku/>
        <w:wordWrap/>
        <w:overflowPunct/>
        <w:topLinePunct w:val="0"/>
        <w:autoSpaceDE/>
        <w:autoSpaceDN/>
        <w:bidi w:val="0"/>
        <w:adjustRightInd/>
        <w:spacing w:before="0" w:line="340" w:lineRule="exact"/>
        <w:ind w:right="28" w:firstLine="0"/>
        <w:jc w:val="right"/>
        <w:textAlignment w:val="auto"/>
        <w:rPr>
          <w:rFonts w:hint="default" w:ascii="Times New Roman" w:hAnsi="Times New Roman" w:eastAsia="宋体" w:cs="Times New Roman"/>
          <w:sz w:val="21"/>
          <w:szCs w:val="21"/>
          <w:lang w:val="en-US" w:eastAsia="zh-CN"/>
        </w:rPr>
      </w:pPr>
      <w:r>
        <w:rPr>
          <w:b/>
          <w:color w:val="auto"/>
          <w:sz w:val="21"/>
          <w:highlight w:val="none"/>
        </w:rPr>
        <w:t>发布公示时间：202</w:t>
      </w:r>
      <w:r>
        <w:rPr>
          <w:rFonts w:hint="eastAsia"/>
          <w:b/>
          <w:color w:val="auto"/>
          <w:sz w:val="21"/>
          <w:highlight w:val="none"/>
          <w:lang w:val="en-US" w:eastAsia="zh-CN"/>
        </w:rPr>
        <w:t>4</w:t>
      </w:r>
      <w:r>
        <w:rPr>
          <w:b/>
          <w:color w:val="auto"/>
          <w:sz w:val="21"/>
          <w:highlight w:val="none"/>
        </w:rPr>
        <w:t>年1</w:t>
      </w:r>
      <w:r>
        <w:rPr>
          <w:rFonts w:hint="eastAsia"/>
          <w:b/>
          <w:color w:val="auto"/>
          <w:sz w:val="21"/>
          <w:highlight w:val="none"/>
          <w:lang w:val="en-US" w:eastAsia="zh-CN"/>
        </w:rPr>
        <w:t>1</w:t>
      </w:r>
      <w:r>
        <w:rPr>
          <w:b/>
          <w:color w:val="auto"/>
          <w:sz w:val="21"/>
          <w:highlight w:val="none"/>
        </w:rPr>
        <w:t>月</w:t>
      </w:r>
      <w:r>
        <w:rPr>
          <w:rFonts w:hint="eastAsia"/>
          <w:b/>
          <w:color w:val="auto"/>
          <w:sz w:val="21"/>
          <w:highlight w:val="none"/>
          <w:lang w:val="en-US" w:eastAsia="zh-CN"/>
        </w:rPr>
        <w:t>7</w:t>
      </w:r>
      <w:r>
        <w:rPr>
          <w:b/>
          <w:color w:val="auto"/>
          <w:sz w:val="21"/>
          <w:highlight w:val="none"/>
        </w:rPr>
        <w:t>日</w:t>
      </w:r>
    </w:p>
    <w:sectPr>
      <w:footerReference r:id="rId3" w:type="default"/>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TM0OGJhM2UyZTdkOWI1MDI3ZGU2MGM4YTkzMTgifQ=="/>
  </w:docVars>
  <w:rsids>
    <w:rsidRoot w:val="038A3A9E"/>
    <w:rsid w:val="016305CA"/>
    <w:rsid w:val="03425EA8"/>
    <w:rsid w:val="038A3A9E"/>
    <w:rsid w:val="06D47D3A"/>
    <w:rsid w:val="0AD7005C"/>
    <w:rsid w:val="15F42291"/>
    <w:rsid w:val="19F34ABF"/>
    <w:rsid w:val="1A773AF4"/>
    <w:rsid w:val="1F973526"/>
    <w:rsid w:val="21E26A6E"/>
    <w:rsid w:val="2272091B"/>
    <w:rsid w:val="229A45C0"/>
    <w:rsid w:val="23B74FD3"/>
    <w:rsid w:val="27461700"/>
    <w:rsid w:val="390D3620"/>
    <w:rsid w:val="3EAA3E9C"/>
    <w:rsid w:val="40ED07E8"/>
    <w:rsid w:val="457241E0"/>
    <w:rsid w:val="4ABF2890"/>
    <w:rsid w:val="52D2202B"/>
    <w:rsid w:val="590F339C"/>
    <w:rsid w:val="593C4EAD"/>
    <w:rsid w:val="62293C20"/>
    <w:rsid w:val="62B12AA5"/>
    <w:rsid w:val="6EA769F4"/>
    <w:rsid w:val="72913401"/>
    <w:rsid w:val="72FC7950"/>
    <w:rsid w:val="76C679B0"/>
    <w:rsid w:val="7CBB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customStyle="1" w:styleId="3">
    <w:name w:val="!正文"/>
    <w:basedOn w:val="1"/>
    <w:qFormat/>
    <w:uiPriority w:val="0"/>
    <w:pPr>
      <w:adjustRightInd w:val="0"/>
      <w:snapToGrid w:val="0"/>
      <w:spacing w:before="0" w:line="500" w:lineRule="atLeast"/>
    </w:pPr>
    <w:rPr>
      <w:rFonts w:ascii="宋体" w:hAnsi="宋体"/>
      <w:sz w:val="28"/>
      <w:szCs w:val="20"/>
    </w:rPr>
  </w:style>
  <w:style w:type="paragraph" w:styleId="4">
    <w:name w:val="Plain Text"/>
    <w:basedOn w:val="1"/>
    <w:next w:val="5"/>
    <w:qFormat/>
    <w:uiPriority w:val="0"/>
    <w:rPr>
      <w:rFonts w:ascii="宋体" w:hAnsi="Courier New"/>
      <w:szCs w:val="20"/>
    </w:rPr>
  </w:style>
  <w:style w:type="paragraph" w:styleId="5">
    <w:name w:val="toc 1"/>
    <w:basedOn w:val="1"/>
    <w:next w:val="1"/>
    <w:qFormat/>
    <w:uiPriority w:val="39"/>
    <w:pPr>
      <w:tabs>
        <w:tab w:val="right" w:leader="dot" w:pos="9060"/>
      </w:tabs>
      <w:spacing w:line="400" w:lineRule="exact"/>
      <w:ind w:firstLine="482"/>
      <w:jc w:val="center"/>
    </w:pPr>
    <w:rPr>
      <w:bCs/>
      <w:caps/>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qFormat/>
    <w:uiPriority w:val="0"/>
    <w:rPr>
      <w:color w:val="0000FF"/>
      <w:u w:val="single"/>
    </w:rPr>
  </w:style>
  <w:style w:type="paragraph" w:customStyle="1" w:styleId="12">
    <w:name w:val="图表标题"/>
    <w:basedOn w:val="1"/>
    <w:next w:val="13"/>
    <w:qFormat/>
    <w:uiPriority w:val="0"/>
    <w:pPr>
      <w:spacing w:beforeLines="50"/>
      <w:jc w:val="center"/>
    </w:pPr>
    <w:rPr>
      <w:rFonts w:ascii="Times New Roman" w:hAnsi="Times New Roman" w:eastAsia="宋体" w:cs="Times New Roman"/>
      <w:color w:val="000000"/>
      <w:kern w:val="0"/>
      <w:szCs w:val="24"/>
    </w:rPr>
  </w:style>
  <w:style w:type="paragraph" w:customStyle="1" w:styleId="13">
    <w:name w:val="表格正文"/>
    <w:basedOn w:val="1"/>
    <w:qFormat/>
    <w:uiPriority w:val="99"/>
    <w:pPr>
      <w:spacing w:line="280" w:lineRule="exact"/>
      <w:jc w:val="center"/>
    </w:pPr>
    <w:rPr>
      <w:rFonts w:ascii="Times New Roman" w:hAnsi="Times New Roman" w:eastAsia="宋体" w:cs="Times New Roman"/>
      <w:sz w:val="18"/>
      <w:szCs w:val="21"/>
    </w:rPr>
  </w:style>
  <w:style w:type="paragraph" w:customStyle="1" w:styleId="14">
    <w:name w:val="正文001"/>
    <w:basedOn w:val="1"/>
    <w:qFormat/>
    <w:uiPriority w:val="0"/>
    <w:pPr>
      <w:spacing w:before="60" w:line="420" w:lineRule="exact"/>
      <w:ind w:firstLine="482"/>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3868</Words>
  <Characters>4243</Characters>
  <Lines>0</Lines>
  <Paragraphs>0</Paragraphs>
  <TotalTime>4</TotalTime>
  <ScaleCrop>false</ScaleCrop>
  <LinksUpToDate>false</LinksUpToDate>
  <CharactersWithSpaces>4275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2022-11-14T07:59:00Z</dcterms:created>
  <dc:creator>落辰0808</dc:creator>
  <cp:lastModifiedBy>阿檬</cp:lastModifiedBy>
  <dcterms:modified xsi:type="dcterms:W3CDTF">2024-11-07T02:45:35Z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A5F9580E99F04B799B32AAF2E2163B48</vt:lpwstr>
  </property>
</Properties>
</file>